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640" w:firstLine="2920" w:firstLineChars="909"/>
        <w:rPr>
          <w:rFonts w:ascii="楷体" w:hAnsi="楷体" w:eastAsia="楷体"/>
          <w:b/>
          <w:bCs/>
          <w:color w:val="auto"/>
          <w:sz w:val="32"/>
          <w:szCs w:val="32"/>
        </w:rPr>
      </w:pPr>
      <w:bookmarkStart w:id="0" w:name="_Toc239649321"/>
      <w:bookmarkStart w:id="1" w:name="_Toc239648875"/>
      <w:bookmarkStart w:id="2" w:name="_Toc239648609"/>
      <w:bookmarkStart w:id="3" w:name="_Toc239822629"/>
      <w:bookmarkStart w:id="4" w:name="_Toc416183166"/>
      <w:bookmarkStart w:id="5" w:name="_Toc239649397"/>
      <w:bookmarkStart w:id="6" w:name="_Toc239651331"/>
      <w:bookmarkStart w:id="7" w:name="_Toc239649773"/>
      <w:bookmarkStart w:id="8" w:name="_Toc239650612"/>
      <w:bookmarkStart w:id="9" w:name="_Toc239822514"/>
      <w:r>
        <w:rPr>
          <w:rFonts w:hint="eastAsia" w:ascii="楷体" w:hAnsi="楷体" w:eastAsia="楷体"/>
          <w:b/>
          <w:bCs/>
          <w:color w:val="auto"/>
          <w:sz w:val="32"/>
          <w:szCs w:val="32"/>
        </w:rPr>
        <w:t>采购项目编号：</w:t>
      </w:r>
    </w:p>
    <w:p>
      <w:pPr>
        <w:wordWrap w:val="0"/>
        <w:ind w:right="640"/>
        <w:jc w:val="right"/>
        <w:rPr>
          <w:rFonts w:ascii="仿宋_GB2312" w:hAnsi="宋体" w:eastAsia="楷体"/>
          <w:color w:val="auto"/>
          <w:highlight w:val="yellow"/>
        </w:rPr>
      </w:pPr>
      <w:r>
        <w:rPr>
          <w:rFonts w:hint="eastAsia" w:ascii="楷体" w:hAnsi="楷体" w:eastAsia="楷体"/>
          <w:b/>
          <w:bCs/>
          <w:color w:val="auto"/>
          <w:highlight w:val="none"/>
        </w:rPr>
        <w:t>CD</w:t>
      </w:r>
      <w:r>
        <w:rPr>
          <w:rFonts w:hint="eastAsia" w:ascii="楷体" w:hAnsi="楷体" w:eastAsia="楷体"/>
          <w:b/>
          <w:bCs/>
          <w:color w:val="auto"/>
          <w:highlight w:val="none"/>
          <w:lang w:val="en-US" w:eastAsia="zh-CN"/>
        </w:rPr>
        <w:t>K</w:t>
      </w:r>
      <w:r>
        <w:rPr>
          <w:rFonts w:hint="eastAsia" w:ascii="楷体" w:hAnsi="楷体" w:eastAsia="楷体"/>
          <w:b/>
          <w:bCs/>
          <w:color w:val="auto"/>
          <w:highlight w:val="none"/>
        </w:rPr>
        <w:t>D (招)202</w:t>
      </w:r>
      <w:r>
        <w:rPr>
          <w:rFonts w:hint="eastAsia" w:ascii="楷体" w:hAnsi="楷体" w:eastAsia="楷体"/>
          <w:b/>
          <w:bCs/>
          <w:color w:val="auto"/>
          <w:highlight w:val="none"/>
          <w:lang w:val="en-US" w:eastAsia="zh-CN"/>
        </w:rPr>
        <w:t>3</w:t>
      </w:r>
      <w:r>
        <w:rPr>
          <w:rFonts w:hint="eastAsia" w:ascii="楷体" w:hAnsi="楷体" w:eastAsia="楷体"/>
          <w:b/>
          <w:bCs/>
          <w:color w:val="auto"/>
          <w:highlight w:val="none"/>
        </w:rPr>
        <w:t>–</w:t>
      </w:r>
      <w:r>
        <w:rPr>
          <w:rFonts w:hint="eastAsia" w:ascii="楷体" w:hAnsi="楷体" w:eastAsia="楷体"/>
          <w:b/>
          <w:bCs/>
          <w:color w:val="auto"/>
          <w:highlight w:val="none"/>
          <w:lang w:val="en-US" w:eastAsia="zh-CN"/>
        </w:rPr>
        <w:t>ZLB</w:t>
      </w:r>
      <w:r>
        <w:rPr>
          <w:rFonts w:hint="eastAsia" w:ascii="楷体" w:hAnsi="楷体" w:eastAsia="楷体"/>
          <w:b/>
          <w:bCs/>
          <w:color w:val="auto"/>
          <w:highlight w:val="none"/>
        </w:rPr>
        <w:t>（</w:t>
      </w:r>
      <w:r>
        <w:rPr>
          <w:rFonts w:hint="eastAsia" w:ascii="楷体" w:hAnsi="楷体" w:eastAsia="楷体"/>
          <w:b/>
          <w:bCs/>
          <w:color w:val="auto"/>
          <w:highlight w:val="none"/>
          <w:lang w:val="en-US" w:eastAsia="zh-CN"/>
        </w:rPr>
        <w:t>1008</w:t>
      </w:r>
      <w:r>
        <w:rPr>
          <w:rFonts w:hint="eastAsia" w:ascii="楷体" w:hAnsi="楷体" w:eastAsia="楷体"/>
          <w:b/>
          <w:bCs/>
          <w:color w:val="auto"/>
          <w:highlight w:val="none"/>
        </w:rPr>
        <w:t>）号</w:t>
      </w:r>
    </w:p>
    <w:p>
      <w:pPr>
        <w:ind w:firstLine="600"/>
        <w:rPr>
          <w:rFonts w:ascii="仿宋_GB2312" w:hAnsi="宋体" w:eastAsia="仿宋_GB2312"/>
          <w:color w:val="auto"/>
          <w:sz w:val="30"/>
          <w:szCs w:val="30"/>
        </w:rPr>
      </w:pPr>
    </w:p>
    <w:p>
      <w:pPr>
        <w:ind w:firstLine="600"/>
        <w:rPr>
          <w:rFonts w:ascii="仿宋_GB2312" w:hAnsi="宋体" w:eastAsia="仿宋_GB2312"/>
          <w:color w:val="auto"/>
          <w:sz w:val="30"/>
          <w:szCs w:val="30"/>
        </w:rPr>
      </w:pPr>
    </w:p>
    <w:p>
      <w:pPr>
        <w:ind w:firstLine="600"/>
        <w:rPr>
          <w:rFonts w:ascii="仿宋_GB2312" w:hAnsi="宋体" w:eastAsia="仿宋_GB2312"/>
          <w:color w:val="auto"/>
          <w:sz w:val="30"/>
          <w:szCs w:val="30"/>
        </w:rPr>
      </w:pPr>
    </w:p>
    <w:p>
      <w:pPr>
        <w:adjustRightInd w:val="0"/>
        <w:snapToGrid w:val="0"/>
        <w:spacing w:line="276" w:lineRule="auto"/>
        <w:ind w:firstLine="0" w:firstLineChars="0"/>
        <w:jc w:val="center"/>
        <w:rPr>
          <w:rFonts w:ascii="方正姚体" w:hAnsi="宋体" w:eastAsia="方正姚体"/>
          <w:b/>
          <w:color w:val="auto"/>
          <w:sz w:val="144"/>
          <w:szCs w:val="130"/>
        </w:rPr>
      </w:pPr>
      <w:r>
        <w:rPr>
          <w:rFonts w:hint="eastAsia" w:ascii="方正姚体" w:hAnsi="宋体" w:eastAsia="方正姚体"/>
          <w:b/>
          <w:color w:val="auto"/>
          <w:sz w:val="144"/>
          <w:szCs w:val="130"/>
        </w:rPr>
        <w:t>比选文件</w:t>
      </w:r>
    </w:p>
    <w:p>
      <w:pPr>
        <w:adjustRightInd w:val="0"/>
        <w:snapToGrid w:val="0"/>
        <w:ind w:firstLine="562"/>
        <w:rPr>
          <w:rFonts w:ascii="宋体" w:hAnsi="宋体"/>
          <w:b/>
          <w:color w:val="auto"/>
          <w:sz w:val="28"/>
          <w:szCs w:val="28"/>
        </w:rPr>
      </w:pPr>
    </w:p>
    <w:p>
      <w:pPr>
        <w:adjustRightInd w:val="0"/>
        <w:snapToGrid w:val="0"/>
        <w:ind w:firstLine="1044"/>
        <w:rPr>
          <w:rFonts w:ascii="宋体" w:hAnsi="宋体"/>
          <w:b/>
          <w:color w:val="auto"/>
          <w:sz w:val="52"/>
          <w:szCs w:val="52"/>
        </w:rPr>
      </w:pPr>
    </w:p>
    <w:p>
      <w:pPr>
        <w:jc w:val="left"/>
        <w:rPr>
          <w:rFonts w:hint="eastAsia" w:ascii="楷体" w:hAnsi="楷体" w:eastAsia="楷体"/>
          <w:color w:val="auto"/>
          <w:sz w:val="24"/>
          <w:szCs w:val="28"/>
          <w:u w:val="single"/>
        </w:rPr>
      </w:pPr>
      <w:r>
        <w:rPr>
          <w:rFonts w:hint="eastAsia" w:ascii="楷体" w:hAnsi="楷体" w:eastAsia="楷体"/>
          <w:b/>
          <w:bCs/>
          <w:color w:val="auto"/>
          <w:sz w:val="32"/>
          <w:szCs w:val="32"/>
        </w:rPr>
        <w:t>采购项目名称：</w:t>
      </w:r>
      <w:r>
        <w:rPr>
          <w:rFonts w:hint="eastAsia" w:ascii="楷体" w:hAnsi="楷体" w:eastAsia="楷体"/>
          <w:color w:val="auto"/>
          <w:sz w:val="28"/>
          <w:szCs w:val="32"/>
          <w:u w:val="single"/>
        </w:rPr>
        <w:t>办学评估支撑材料“数字化”归档工作采购项目</w:t>
      </w:r>
      <w:r>
        <w:rPr>
          <w:rFonts w:hint="eastAsia" w:ascii="楷体" w:hAnsi="楷体" w:eastAsia="楷体"/>
          <w:color w:val="auto"/>
          <w:sz w:val="24"/>
          <w:szCs w:val="28"/>
          <w:u w:val="single"/>
          <w:lang w:val="en-US" w:eastAsia="zh-CN"/>
        </w:rPr>
        <w:t xml:space="preserve">                 </w:t>
      </w:r>
      <w:r>
        <w:rPr>
          <w:rFonts w:hint="eastAsia" w:ascii="楷体" w:hAnsi="楷体" w:eastAsia="楷体"/>
          <w:color w:val="auto"/>
          <w:sz w:val="24"/>
          <w:szCs w:val="28"/>
          <w:u w:val="single"/>
        </w:rPr>
        <w:t xml:space="preserve"> </w:t>
      </w:r>
    </w:p>
    <w:p>
      <w:pPr>
        <w:ind w:firstLine="643"/>
        <w:jc w:val="left"/>
        <w:rPr>
          <w:rFonts w:ascii="楷体" w:hAnsi="楷体" w:eastAsia="楷体"/>
          <w:color w:val="auto"/>
          <w:sz w:val="32"/>
          <w:szCs w:val="32"/>
          <w:u w:val="single"/>
        </w:rPr>
      </w:pPr>
      <w:r>
        <w:rPr>
          <w:rFonts w:hint="eastAsia" w:ascii="楷体" w:hAnsi="楷体" w:eastAsia="楷体"/>
          <w:b/>
          <w:bCs/>
          <w:color w:val="auto"/>
          <w:sz w:val="32"/>
          <w:szCs w:val="32"/>
        </w:rPr>
        <w:t>采 购  方 式：</w:t>
      </w:r>
      <w:r>
        <w:rPr>
          <w:rFonts w:hint="eastAsia" w:ascii="楷体" w:hAnsi="楷体" w:eastAsia="楷体"/>
          <w:b/>
          <w:bCs/>
          <w:color w:val="auto"/>
          <w:sz w:val="32"/>
          <w:szCs w:val="32"/>
          <w:u w:val="single"/>
        </w:rPr>
        <w:t xml:space="preserve">       </w:t>
      </w:r>
      <w:r>
        <w:rPr>
          <w:rFonts w:hint="eastAsia" w:ascii="楷体" w:hAnsi="楷体" w:eastAsia="楷体"/>
          <w:color w:val="auto"/>
          <w:sz w:val="32"/>
          <w:szCs w:val="32"/>
          <w:u w:val="single"/>
        </w:rPr>
        <w:t xml:space="preserve">比     选      </w:t>
      </w:r>
      <w:r>
        <w:rPr>
          <w:rFonts w:hint="eastAsia" w:ascii="楷体" w:hAnsi="楷体" w:eastAsia="楷体"/>
          <w:color w:val="auto"/>
          <w:sz w:val="32"/>
          <w:szCs w:val="32"/>
          <w:u w:val="single"/>
          <w:lang w:val="en-US" w:eastAsia="zh-CN"/>
        </w:rPr>
        <w:t xml:space="preserve">        </w:t>
      </w:r>
      <w:r>
        <w:rPr>
          <w:rFonts w:hint="eastAsia" w:ascii="楷体" w:hAnsi="楷体" w:eastAsia="楷体"/>
          <w:color w:val="auto"/>
          <w:sz w:val="32"/>
          <w:szCs w:val="32"/>
          <w:u w:val="single"/>
        </w:rPr>
        <w:t xml:space="preserve">    </w:t>
      </w:r>
    </w:p>
    <w:p>
      <w:pPr>
        <w:adjustRightInd w:val="0"/>
        <w:snapToGrid w:val="0"/>
        <w:ind w:left="2959" w:leftChars="296" w:hanging="2249" w:hangingChars="700"/>
        <w:rPr>
          <w:rFonts w:ascii="楷体" w:hAnsi="楷体" w:eastAsia="楷体"/>
          <w:color w:val="auto"/>
          <w:sz w:val="32"/>
          <w:szCs w:val="32"/>
          <w:u w:val="single"/>
        </w:rPr>
      </w:pPr>
      <w:r>
        <w:rPr>
          <w:rFonts w:hint="eastAsia" w:ascii="楷体" w:hAnsi="楷体" w:eastAsia="楷体"/>
          <w:b/>
          <w:bCs/>
          <w:color w:val="auto"/>
          <w:sz w:val="32"/>
          <w:szCs w:val="32"/>
        </w:rPr>
        <w:t>采   购   人：</w:t>
      </w:r>
      <w:r>
        <w:rPr>
          <w:rFonts w:hint="eastAsia" w:ascii="楷体" w:hAnsi="楷体" w:eastAsia="楷体"/>
          <w:b/>
          <w:bCs/>
          <w:color w:val="auto"/>
          <w:sz w:val="32"/>
          <w:szCs w:val="32"/>
          <w:u w:val="single"/>
        </w:rPr>
        <w:t xml:space="preserve">    </w:t>
      </w:r>
      <w:r>
        <w:rPr>
          <w:rFonts w:hint="eastAsia" w:ascii="楷体" w:hAnsi="楷体" w:eastAsia="楷体"/>
          <w:color w:val="auto"/>
          <w:sz w:val="28"/>
          <w:szCs w:val="32"/>
          <w:u w:val="single"/>
        </w:rPr>
        <w:t>成都开放大学</w:t>
      </w:r>
      <w:r>
        <w:rPr>
          <w:rFonts w:hint="eastAsia" w:ascii="楷体" w:hAnsi="楷体" w:eastAsia="楷体"/>
          <w:b/>
          <w:bCs/>
          <w:color w:val="auto"/>
          <w:sz w:val="32"/>
          <w:szCs w:val="32"/>
          <w:u w:val="single"/>
        </w:rPr>
        <w:t xml:space="preserve">   </w:t>
      </w:r>
      <w:r>
        <w:rPr>
          <w:rFonts w:hint="eastAsia" w:ascii="楷体" w:hAnsi="楷体" w:eastAsia="楷体"/>
          <w:b/>
          <w:bCs/>
          <w:color w:val="auto"/>
          <w:sz w:val="32"/>
          <w:szCs w:val="32"/>
          <w:u w:val="single"/>
          <w:lang w:val="en-US" w:eastAsia="zh-CN"/>
        </w:rPr>
        <w:t xml:space="preserve">            </w:t>
      </w:r>
      <w:r>
        <w:rPr>
          <w:rFonts w:hint="eastAsia" w:ascii="楷体" w:hAnsi="楷体" w:eastAsia="楷体"/>
          <w:b/>
          <w:bCs/>
          <w:color w:val="auto"/>
          <w:sz w:val="32"/>
          <w:szCs w:val="32"/>
          <w:u w:val="single"/>
        </w:rPr>
        <w:t xml:space="preserve">    </w:t>
      </w:r>
    </w:p>
    <w:p>
      <w:pPr>
        <w:adjustRightInd w:val="0"/>
        <w:snapToGrid w:val="0"/>
        <w:ind w:firstLine="723"/>
        <w:jc w:val="center"/>
        <w:rPr>
          <w:rFonts w:ascii="楷体" w:hAnsi="楷体" w:eastAsia="楷体"/>
          <w:b/>
          <w:bCs/>
          <w:color w:val="auto"/>
          <w:sz w:val="36"/>
          <w:szCs w:val="20"/>
        </w:rPr>
      </w:pPr>
    </w:p>
    <w:p>
      <w:pPr>
        <w:adjustRightInd w:val="0"/>
        <w:snapToGrid w:val="0"/>
        <w:ind w:firstLine="723"/>
        <w:jc w:val="center"/>
        <w:rPr>
          <w:rFonts w:ascii="楷体" w:hAnsi="楷体" w:eastAsia="楷体"/>
          <w:b/>
          <w:bCs/>
          <w:color w:val="auto"/>
          <w:sz w:val="36"/>
          <w:szCs w:val="20"/>
        </w:rPr>
      </w:pPr>
    </w:p>
    <w:p>
      <w:pPr>
        <w:adjustRightInd w:val="0"/>
        <w:snapToGrid w:val="0"/>
        <w:ind w:firstLine="643"/>
        <w:jc w:val="center"/>
        <w:rPr>
          <w:rFonts w:ascii="楷体" w:hAnsi="楷体" w:eastAsia="楷体"/>
          <w:b/>
          <w:color w:val="auto"/>
          <w:kern w:val="0"/>
          <w:sz w:val="32"/>
          <w:szCs w:val="32"/>
        </w:rPr>
      </w:pPr>
      <w:r>
        <w:rPr>
          <w:rFonts w:hint="eastAsia" w:ascii="楷体" w:hAnsi="楷体" w:eastAsia="楷体"/>
          <w:b/>
          <w:bCs/>
          <w:color w:val="auto"/>
          <w:sz w:val="32"/>
          <w:szCs w:val="20"/>
        </w:rPr>
        <w:t>中</w:t>
      </w:r>
      <w:r>
        <w:rPr>
          <w:rFonts w:hint="eastAsia" w:ascii="楷体" w:hAnsi="楷体" w:eastAsia="楷体"/>
          <w:b/>
          <w:bCs/>
          <w:color w:val="auto"/>
          <w:sz w:val="32"/>
          <w:szCs w:val="32"/>
        </w:rPr>
        <w:t>国·</w:t>
      </w:r>
      <w:r>
        <w:rPr>
          <w:rFonts w:hint="eastAsia" w:ascii="楷体" w:hAnsi="楷体" w:eastAsia="楷体"/>
          <w:b/>
          <w:color w:val="auto"/>
          <w:kern w:val="0"/>
          <w:sz w:val="32"/>
          <w:szCs w:val="32"/>
        </w:rPr>
        <w:t>四川</w:t>
      </w:r>
    </w:p>
    <w:p>
      <w:pPr>
        <w:ind w:firstLine="643"/>
        <w:jc w:val="center"/>
        <w:rPr>
          <w:rFonts w:ascii="楷体" w:hAnsi="楷体" w:eastAsia="楷体"/>
          <w:b/>
          <w:bCs/>
          <w:color w:val="auto"/>
          <w:sz w:val="32"/>
          <w:szCs w:val="20"/>
        </w:rPr>
      </w:pPr>
      <w:r>
        <w:rPr>
          <w:rFonts w:hint="eastAsia" w:ascii="楷体" w:hAnsi="楷体" w:eastAsia="楷体"/>
          <w:b/>
          <w:bCs/>
          <w:color w:val="auto"/>
          <w:sz w:val="32"/>
          <w:szCs w:val="20"/>
        </w:rPr>
        <w:t>成都开放大学</w:t>
      </w:r>
    </w:p>
    <w:p>
      <w:pPr>
        <w:ind w:firstLine="643"/>
        <w:jc w:val="center"/>
        <w:rPr>
          <w:rFonts w:hint="eastAsia" w:ascii="楷体" w:hAnsi="楷体" w:eastAsia="楷体"/>
          <w:b/>
          <w:bCs/>
          <w:color w:val="auto"/>
          <w:sz w:val="32"/>
          <w:szCs w:val="20"/>
          <w:lang w:val="en-US"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792" w:header="851" w:footer="992" w:gutter="0"/>
          <w:pgNumType w:start="1"/>
          <w:cols w:space="720" w:num="1"/>
          <w:titlePg/>
          <w:docGrid w:linePitch="312" w:charSpace="0"/>
        </w:sectPr>
      </w:pPr>
      <w:r>
        <w:rPr>
          <w:rFonts w:hint="eastAsia" w:ascii="楷体" w:hAnsi="楷体" w:eastAsia="楷体"/>
          <w:b/>
          <w:bCs/>
          <w:color w:val="auto"/>
          <w:sz w:val="32"/>
          <w:szCs w:val="20"/>
          <w:lang w:val="en-US" w:eastAsia="zh-CN"/>
        </w:rPr>
        <w:t>二〇二三年十月</w:t>
      </w:r>
    </w:p>
    <w:p>
      <w:pPr>
        <w:pStyle w:val="47"/>
        <w:ind w:firstLine="723"/>
        <w:jc w:val="center"/>
        <w:rPr>
          <w:rFonts w:ascii="楷体" w:hAnsi="楷体" w:eastAsia="楷体"/>
          <w:b/>
          <w:color w:val="auto"/>
          <w:kern w:val="44"/>
          <w:sz w:val="28"/>
        </w:rPr>
      </w:pPr>
      <w:r>
        <w:rPr>
          <w:rFonts w:hint="eastAsia" w:ascii="楷体" w:hAnsi="楷体" w:eastAsia="楷体"/>
          <w:b/>
          <w:bCs/>
          <w:color w:val="auto"/>
          <w:sz w:val="36"/>
        </w:rPr>
        <w:t>目 录</w:t>
      </w:r>
    </w:p>
    <w:p>
      <w:pPr>
        <w:pStyle w:val="61"/>
        <w:tabs>
          <w:tab w:val="right" w:leader="dot" w:pos="8959"/>
          <w:tab w:val="clear" w:pos="8949"/>
        </w:tabs>
        <w:rPr>
          <w:color w:val="auto"/>
        </w:rPr>
      </w:pPr>
      <w:r>
        <w:rPr>
          <w:b w:val="0"/>
          <w:color w:val="auto"/>
          <w:kern w:val="44"/>
          <w:sz w:val="28"/>
        </w:rPr>
        <w:fldChar w:fldCharType="begin"/>
      </w:r>
      <w:r>
        <w:rPr>
          <w:b w:val="0"/>
          <w:color w:val="auto"/>
          <w:kern w:val="44"/>
          <w:sz w:val="28"/>
        </w:rPr>
        <w:instrText xml:space="preserve"> </w:instrText>
      </w:r>
      <w:r>
        <w:rPr>
          <w:rFonts w:hint="eastAsia"/>
          <w:b w:val="0"/>
          <w:color w:val="auto"/>
          <w:kern w:val="44"/>
          <w:sz w:val="28"/>
        </w:rPr>
        <w:instrText xml:space="preserve">TOC \o "1-2" \h \z \u</w:instrText>
      </w:r>
      <w:r>
        <w:rPr>
          <w:b w:val="0"/>
          <w:color w:val="auto"/>
          <w:kern w:val="44"/>
          <w:sz w:val="28"/>
        </w:rPr>
        <w:instrText xml:space="preserve"> </w:instrText>
      </w:r>
      <w:r>
        <w:rPr>
          <w:b w:val="0"/>
          <w:color w:val="auto"/>
          <w:kern w:val="44"/>
          <w:sz w:val="28"/>
        </w:rPr>
        <w:fldChar w:fldCharType="separate"/>
      </w:r>
      <w:r>
        <w:rPr>
          <w:color w:val="auto"/>
        </w:rPr>
        <w:fldChar w:fldCharType="begin"/>
      </w:r>
      <w:r>
        <w:rPr>
          <w:color w:val="auto"/>
        </w:rPr>
        <w:instrText xml:space="preserve"> HYPERLINK \l "_Toc14260" </w:instrText>
      </w:r>
      <w:r>
        <w:rPr>
          <w:color w:val="auto"/>
        </w:rPr>
        <w:fldChar w:fldCharType="separate"/>
      </w:r>
      <w:r>
        <w:rPr>
          <w:rFonts w:hint="eastAsia" w:ascii="黑体" w:hAnsi="黑体"/>
          <w:color w:val="auto"/>
          <w:szCs w:val="32"/>
        </w:rPr>
        <w:t>第一章</w:t>
      </w:r>
      <w:r>
        <w:rPr>
          <w:rFonts w:ascii="黑体" w:hAnsi="黑体"/>
          <w:color w:val="auto"/>
          <w:szCs w:val="32"/>
        </w:rPr>
        <w:t xml:space="preserve">  </w:t>
      </w:r>
      <w:r>
        <w:rPr>
          <w:rFonts w:hint="eastAsia" w:ascii="黑体" w:hAnsi="黑体"/>
          <w:color w:val="auto"/>
          <w:szCs w:val="32"/>
        </w:rPr>
        <w:t>比选邀请</w:t>
      </w:r>
      <w:r>
        <w:rPr>
          <w:color w:val="auto"/>
        </w:rPr>
        <w:tab/>
      </w:r>
      <w:r>
        <w:rPr>
          <w:color w:val="auto"/>
        </w:rPr>
        <w:fldChar w:fldCharType="end"/>
      </w:r>
    </w:p>
    <w:p>
      <w:pPr>
        <w:pStyle w:val="61"/>
        <w:tabs>
          <w:tab w:val="right" w:leader="dot" w:pos="8959"/>
          <w:tab w:val="clear" w:pos="8949"/>
        </w:tabs>
        <w:rPr>
          <w:color w:val="auto"/>
        </w:rPr>
      </w:pPr>
      <w:r>
        <w:rPr>
          <w:color w:val="auto"/>
        </w:rPr>
        <w:fldChar w:fldCharType="begin"/>
      </w:r>
      <w:r>
        <w:rPr>
          <w:color w:val="auto"/>
        </w:rPr>
        <w:instrText xml:space="preserve"> HYPERLINK \l "_Toc30730" </w:instrText>
      </w:r>
      <w:r>
        <w:rPr>
          <w:color w:val="auto"/>
        </w:rPr>
        <w:fldChar w:fldCharType="separate"/>
      </w:r>
      <w:r>
        <w:rPr>
          <w:rFonts w:hint="eastAsia" w:ascii="黑体" w:hAnsi="黑体"/>
          <w:color w:val="auto"/>
          <w:szCs w:val="32"/>
        </w:rPr>
        <w:t>第二章</w:t>
      </w:r>
      <w:r>
        <w:rPr>
          <w:rFonts w:ascii="黑体" w:hAnsi="黑体"/>
          <w:color w:val="auto"/>
          <w:szCs w:val="32"/>
        </w:rPr>
        <w:t xml:space="preserve">  </w:t>
      </w:r>
      <w:r>
        <w:rPr>
          <w:rFonts w:hint="eastAsia" w:ascii="黑体" w:hAnsi="黑体"/>
          <w:color w:val="auto"/>
          <w:szCs w:val="32"/>
        </w:rPr>
        <w:t>响应人须知</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"_Toc1529" </w:instrText>
      </w:r>
      <w:r>
        <w:rPr>
          <w:color w:val="auto"/>
        </w:rPr>
        <w:fldChar w:fldCharType="separate"/>
      </w:r>
      <w:r>
        <w:rPr>
          <w:rFonts w:hint="eastAsia"/>
          <w:color w:val="auto"/>
        </w:rPr>
        <w:t>一、响应人须知附表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"_Toc10121" </w:instrText>
      </w:r>
      <w:r>
        <w:rPr>
          <w:color w:val="auto"/>
        </w:rPr>
        <w:fldChar w:fldCharType="separate"/>
      </w:r>
      <w:r>
        <w:rPr>
          <w:rFonts w:hint="eastAsia"/>
          <w:color w:val="auto"/>
        </w:rPr>
        <w:t>二、总</w:t>
      </w:r>
      <w:r>
        <w:rPr>
          <w:color w:val="auto"/>
        </w:rPr>
        <w:t xml:space="preserve">  </w:t>
      </w:r>
      <w:r>
        <w:rPr>
          <w:rFonts w:hint="eastAsia"/>
          <w:color w:val="auto"/>
        </w:rPr>
        <w:t>则</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"_Toc30764" </w:instrText>
      </w:r>
      <w:r>
        <w:rPr>
          <w:color w:val="auto"/>
        </w:rPr>
        <w:fldChar w:fldCharType="separate"/>
      </w:r>
      <w:r>
        <w:rPr>
          <w:rFonts w:hint="eastAsia"/>
          <w:color w:val="auto"/>
        </w:rPr>
        <w:t>三、比选文件</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"_Toc24572" </w:instrText>
      </w:r>
      <w:r>
        <w:rPr>
          <w:color w:val="auto"/>
        </w:rPr>
        <w:fldChar w:fldCharType="separate"/>
      </w:r>
      <w:r>
        <w:rPr>
          <w:rFonts w:hint="eastAsia"/>
          <w:color w:val="auto"/>
        </w:rPr>
        <w:t>四、响应文件</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"_Toc28244" </w:instrText>
      </w:r>
      <w:r>
        <w:rPr>
          <w:color w:val="auto"/>
        </w:rPr>
        <w:fldChar w:fldCharType="separate"/>
      </w:r>
      <w:r>
        <w:rPr>
          <w:rFonts w:hint="eastAsia"/>
          <w:color w:val="auto"/>
        </w:rPr>
        <w:t>五、开标和成交</w:t>
      </w:r>
      <w:r>
        <w:rPr>
          <w:color w:val="auto"/>
        </w:rPr>
        <w:tab/>
      </w:r>
      <w:r>
        <w:rPr>
          <w:color w:val="auto"/>
        </w:rPr>
        <w:fldChar w:fldCharType="end"/>
      </w:r>
    </w:p>
    <w:p>
      <w:pPr>
        <w:pStyle w:val="61"/>
        <w:tabs>
          <w:tab w:val="right" w:leader="dot" w:pos="8959"/>
          <w:tab w:val="clear" w:pos="8949"/>
        </w:tabs>
        <w:rPr>
          <w:color w:val="auto"/>
        </w:rPr>
      </w:pPr>
      <w:r>
        <w:rPr>
          <w:color w:val="auto"/>
        </w:rPr>
        <w:fldChar w:fldCharType="begin"/>
      </w:r>
      <w:r>
        <w:rPr>
          <w:color w:val="auto"/>
        </w:rPr>
        <w:instrText xml:space="preserve"> HYPERLINK \l "_Toc14627" </w:instrText>
      </w:r>
      <w:r>
        <w:rPr>
          <w:color w:val="auto"/>
        </w:rPr>
        <w:fldChar w:fldCharType="separate"/>
      </w:r>
      <w:r>
        <w:rPr>
          <w:rFonts w:hint="eastAsia" w:ascii="黑体" w:hAnsi="黑体"/>
          <w:color w:val="auto"/>
          <w:szCs w:val="32"/>
        </w:rPr>
        <w:t>第三章</w:t>
      </w:r>
      <w:r>
        <w:rPr>
          <w:rFonts w:ascii="黑体" w:hAnsi="黑体"/>
          <w:color w:val="auto"/>
          <w:szCs w:val="32"/>
        </w:rPr>
        <w:t xml:space="preserve"> </w:t>
      </w:r>
      <w:r>
        <w:rPr>
          <w:rFonts w:hint="eastAsia" w:ascii="黑体" w:hAnsi="黑体"/>
          <w:color w:val="auto"/>
          <w:szCs w:val="32"/>
        </w:rPr>
        <w:t>响应文件格式</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"_Toc24992" </w:instrText>
      </w:r>
      <w:r>
        <w:rPr>
          <w:color w:val="auto"/>
        </w:rPr>
        <w:fldChar w:fldCharType="separate"/>
      </w:r>
      <w:r>
        <w:rPr>
          <w:rFonts w:hint="eastAsia"/>
          <w:color w:val="auto"/>
        </w:rPr>
        <w:t>一、响</w:t>
      </w:r>
      <w:r>
        <w:rPr>
          <w:color w:val="auto"/>
        </w:rPr>
        <w:t xml:space="preserve"> </w:t>
      </w:r>
      <w:r>
        <w:rPr>
          <w:rFonts w:hint="eastAsia"/>
          <w:color w:val="auto"/>
        </w:rPr>
        <w:t>应</w:t>
      </w:r>
      <w:r>
        <w:rPr>
          <w:color w:val="auto"/>
        </w:rPr>
        <w:t xml:space="preserve"> </w:t>
      </w:r>
      <w:r>
        <w:rPr>
          <w:rFonts w:hint="eastAsia"/>
          <w:color w:val="auto"/>
        </w:rPr>
        <w:t>函</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"_Toc19999" </w:instrText>
      </w:r>
      <w:r>
        <w:rPr>
          <w:color w:val="auto"/>
        </w:rPr>
        <w:fldChar w:fldCharType="separate"/>
      </w:r>
      <w:r>
        <w:rPr>
          <w:rFonts w:hint="eastAsia"/>
          <w:color w:val="auto"/>
        </w:rPr>
        <w:t>二、法定代表人授权书</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"_Toc5294" </w:instrText>
      </w:r>
      <w:r>
        <w:rPr>
          <w:color w:val="auto"/>
        </w:rPr>
        <w:fldChar w:fldCharType="separate"/>
      </w:r>
      <w:r>
        <w:rPr>
          <w:rFonts w:hint="eastAsia"/>
          <w:color w:val="auto"/>
        </w:rPr>
        <w:t>三、 开标一览表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"_Toc8975" </w:instrText>
      </w:r>
      <w:r>
        <w:rPr>
          <w:color w:val="auto"/>
        </w:rPr>
        <w:fldChar w:fldCharType="separate"/>
      </w:r>
      <w:r>
        <w:rPr>
          <w:rFonts w:hint="eastAsia"/>
          <w:color w:val="auto"/>
        </w:rPr>
        <w:t>四、响应人基本情况表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"_Toc32566" </w:instrText>
      </w:r>
      <w:r>
        <w:rPr>
          <w:color w:val="auto"/>
        </w:rPr>
        <w:fldChar w:fldCharType="separate"/>
      </w:r>
      <w:r>
        <w:rPr>
          <w:rFonts w:hint="eastAsia"/>
          <w:color w:val="auto"/>
        </w:rPr>
        <w:t>五、响应人类似项目业绩一览表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"_Toc3218" </w:instrText>
      </w:r>
      <w:r>
        <w:rPr>
          <w:color w:val="auto"/>
        </w:rPr>
        <w:fldChar w:fldCharType="separate"/>
      </w:r>
      <w:r>
        <w:rPr>
          <w:rFonts w:hint="eastAsia"/>
          <w:color w:val="auto"/>
        </w:rPr>
        <w:t>六、服务应答表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"_Toc6136" </w:instrText>
      </w:r>
      <w:r>
        <w:rPr>
          <w:color w:val="auto"/>
        </w:rPr>
        <w:fldChar w:fldCharType="separate"/>
      </w:r>
      <w:r>
        <w:rPr>
          <w:rFonts w:hint="eastAsia"/>
          <w:color w:val="auto"/>
        </w:rPr>
        <w:t>七、响应人本项目管理、服务、其他人员情况表</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"_Toc20613" </w:instrText>
      </w:r>
      <w:r>
        <w:rPr>
          <w:color w:val="auto"/>
        </w:rPr>
        <w:fldChar w:fldCharType="separate"/>
      </w:r>
      <w:r>
        <w:rPr>
          <w:rFonts w:hint="eastAsia"/>
          <w:color w:val="auto"/>
        </w:rPr>
        <w:t>八、比选承诺函</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"_Toc30486" </w:instrText>
      </w:r>
      <w:r>
        <w:rPr>
          <w:color w:val="auto"/>
        </w:rPr>
        <w:fldChar w:fldCharType="separate"/>
      </w:r>
      <w:r>
        <w:rPr>
          <w:rFonts w:hint="eastAsia"/>
          <w:color w:val="auto"/>
        </w:rPr>
        <w:t>九、营业执照副本复印件</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"_Toc12651" </w:instrText>
      </w:r>
      <w:r>
        <w:rPr>
          <w:color w:val="auto"/>
        </w:rPr>
        <w:fldChar w:fldCharType="separate"/>
      </w:r>
      <w:r>
        <w:rPr>
          <w:rFonts w:hint="eastAsia"/>
          <w:color w:val="auto"/>
        </w:rPr>
        <w:t>十、其他部分</w:t>
      </w:r>
      <w:r>
        <w:rPr>
          <w:color w:val="auto"/>
        </w:rPr>
        <w:tab/>
      </w:r>
      <w:r>
        <w:rPr>
          <w:color w:val="auto"/>
        </w:rPr>
        <w:fldChar w:fldCharType="end"/>
      </w:r>
    </w:p>
    <w:p>
      <w:pPr>
        <w:pStyle w:val="61"/>
        <w:tabs>
          <w:tab w:val="right" w:leader="dot" w:pos="8959"/>
          <w:tab w:val="clear" w:pos="8949"/>
        </w:tabs>
        <w:rPr>
          <w:color w:val="auto"/>
        </w:rPr>
      </w:pPr>
      <w:r>
        <w:rPr>
          <w:color w:val="auto"/>
        </w:rPr>
        <w:fldChar w:fldCharType="begin"/>
      </w:r>
      <w:r>
        <w:rPr>
          <w:color w:val="auto"/>
        </w:rPr>
        <w:instrText xml:space="preserve"> HYPERLINK \l "_Toc23619" </w:instrText>
      </w:r>
      <w:r>
        <w:rPr>
          <w:color w:val="auto"/>
        </w:rPr>
        <w:fldChar w:fldCharType="separate"/>
      </w:r>
      <w:r>
        <w:rPr>
          <w:rFonts w:hint="eastAsia" w:ascii="黑体" w:hAnsi="黑体"/>
          <w:color w:val="auto"/>
          <w:szCs w:val="32"/>
        </w:rPr>
        <w:t>第四章</w:t>
      </w:r>
      <w:r>
        <w:rPr>
          <w:rFonts w:ascii="黑体" w:hAnsi="黑体"/>
          <w:color w:val="auto"/>
          <w:szCs w:val="32"/>
        </w:rPr>
        <w:t xml:space="preserve"> </w:t>
      </w:r>
      <w:r>
        <w:rPr>
          <w:rFonts w:hint="eastAsia" w:ascii="黑体" w:hAnsi="黑体"/>
          <w:color w:val="auto"/>
          <w:szCs w:val="32"/>
        </w:rPr>
        <w:t>采购项目技术、商务及其他要求</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"_Toc25189" </w:instrText>
      </w:r>
      <w:r>
        <w:rPr>
          <w:color w:val="auto"/>
        </w:rPr>
        <w:fldChar w:fldCharType="separate"/>
      </w:r>
      <w:r>
        <w:rPr>
          <w:rFonts w:hint="eastAsia"/>
          <w:color w:val="auto"/>
        </w:rPr>
        <w:t>1.项目概述</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"_Toc16241" </w:instrText>
      </w:r>
      <w:r>
        <w:rPr>
          <w:color w:val="auto"/>
        </w:rPr>
        <w:fldChar w:fldCharType="separate"/>
      </w:r>
      <w:r>
        <w:rPr>
          <w:rFonts w:hint="eastAsia"/>
          <w:color w:val="auto"/>
        </w:rPr>
        <w:t>2.服务内容及要求</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"_Toc4008" </w:instrText>
      </w:r>
      <w:r>
        <w:rPr>
          <w:color w:val="auto"/>
        </w:rPr>
        <w:fldChar w:fldCharType="separate"/>
      </w:r>
      <w:r>
        <w:rPr>
          <w:rFonts w:hint="eastAsia"/>
          <w:color w:val="auto"/>
        </w:rPr>
        <w:t>3</w:t>
      </w:r>
      <w:r>
        <w:rPr>
          <w:rFonts w:hint="eastAsia"/>
          <w:color w:val="auto"/>
          <w:lang w:val="en-US" w:eastAsia="zh-CN"/>
        </w:rPr>
        <w:t>.</w:t>
      </w:r>
      <w:r>
        <w:rPr>
          <w:rFonts w:hint="eastAsia"/>
          <w:color w:val="auto"/>
        </w:rPr>
        <w:t>商务及其他要求</w:t>
      </w:r>
      <w:r>
        <w:rPr>
          <w:color w:val="auto"/>
        </w:rPr>
        <w:tab/>
      </w:r>
      <w:r>
        <w:rPr>
          <w:color w:val="auto"/>
        </w:rPr>
        <w:fldChar w:fldCharType="end"/>
      </w:r>
    </w:p>
    <w:p>
      <w:pPr>
        <w:pStyle w:val="61"/>
        <w:tabs>
          <w:tab w:val="right" w:leader="dot" w:pos="8959"/>
          <w:tab w:val="clear" w:pos="8949"/>
        </w:tabs>
        <w:rPr>
          <w:color w:val="auto"/>
        </w:rPr>
      </w:pPr>
      <w:r>
        <w:rPr>
          <w:color w:val="auto"/>
        </w:rPr>
        <w:fldChar w:fldCharType="begin"/>
      </w:r>
      <w:r>
        <w:rPr>
          <w:color w:val="auto"/>
        </w:rPr>
        <w:instrText xml:space="preserve"> HYPERLINK \l "_Toc2016" </w:instrText>
      </w:r>
      <w:r>
        <w:rPr>
          <w:color w:val="auto"/>
        </w:rPr>
        <w:fldChar w:fldCharType="separate"/>
      </w:r>
      <w:r>
        <w:rPr>
          <w:rFonts w:hint="eastAsia" w:ascii="黑体" w:hAnsi="黑体"/>
          <w:color w:val="auto"/>
          <w:szCs w:val="32"/>
        </w:rPr>
        <w:t>第五章</w:t>
      </w:r>
      <w:r>
        <w:rPr>
          <w:rFonts w:ascii="黑体" w:hAnsi="黑体"/>
          <w:color w:val="auto"/>
          <w:szCs w:val="32"/>
        </w:rPr>
        <w:t xml:space="preserve">  </w:t>
      </w:r>
      <w:r>
        <w:rPr>
          <w:rFonts w:hint="eastAsia" w:ascii="黑体" w:hAnsi="黑体"/>
          <w:color w:val="auto"/>
          <w:szCs w:val="32"/>
        </w:rPr>
        <w:t>评标办法</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"_Toc18379" </w:instrText>
      </w:r>
      <w:r>
        <w:rPr>
          <w:color w:val="auto"/>
        </w:rPr>
        <w:fldChar w:fldCharType="separate"/>
      </w:r>
      <w:r>
        <w:rPr>
          <w:color w:val="auto"/>
        </w:rPr>
        <w:t>1.</w:t>
      </w:r>
      <w:r>
        <w:rPr>
          <w:rFonts w:hint="eastAsia"/>
          <w:color w:val="auto"/>
        </w:rPr>
        <w:t>总则</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"_Toc9410" </w:instrText>
      </w:r>
      <w:r>
        <w:rPr>
          <w:color w:val="auto"/>
        </w:rPr>
        <w:fldChar w:fldCharType="separate"/>
      </w:r>
      <w:r>
        <w:rPr>
          <w:color w:val="auto"/>
        </w:rPr>
        <w:t>2.</w:t>
      </w:r>
      <w:r>
        <w:rPr>
          <w:rFonts w:hint="eastAsia"/>
          <w:color w:val="auto"/>
        </w:rPr>
        <w:t>评标方法</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"_Toc13417" </w:instrText>
      </w:r>
      <w:r>
        <w:rPr>
          <w:color w:val="auto"/>
        </w:rPr>
        <w:fldChar w:fldCharType="separate"/>
      </w:r>
      <w:r>
        <w:rPr>
          <w:color w:val="auto"/>
        </w:rPr>
        <w:t>3</w:t>
      </w:r>
      <w:r>
        <w:rPr>
          <w:rFonts w:hint="eastAsia"/>
          <w:color w:val="auto"/>
        </w:rPr>
        <w:t>.评标细则及标准</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"_Toc23494" </w:instrText>
      </w:r>
      <w:r>
        <w:rPr>
          <w:color w:val="auto"/>
        </w:rPr>
        <w:fldChar w:fldCharType="separate"/>
      </w:r>
      <w:r>
        <w:rPr>
          <w:rFonts w:hint="eastAsia"/>
          <w:color w:val="auto"/>
        </w:rPr>
        <w:t>4.废标</w:t>
      </w:r>
      <w:r>
        <w:rPr>
          <w:color w:val="auto"/>
        </w:rPr>
        <w:tab/>
      </w:r>
      <w:r>
        <w:rPr>
          <w:color w:val="auto"/>
        </w:rPr>
        <w:fldChar w:fldCharType="end"/>
      </w:r>
    </w:p>
    <w:p>
      <w:pPr>
        <w:pStyle w:val="76"/>
        <w:tabs>
          <w:tab w:val="right" w:leader="dot" w:pos="8959"/>
          <w:tab w:val="clear" w:pos="8949"/>
        </w:tabs>
        <w:ind w:left="480"/>
        <w:rPr>
          <w:color w:val="auto"/>
        </w:rPr>
      </w:pPr>
      <w:r>
        <w:rPr>
          <w:color w:val="auto"/>
        </w:rPr>
        <w:fldChar w:fldCharType="begin"/>
      </w:r>
      <w:r>
        <w:rPr>
          <w:color w:val="auto"/>
        </w:rPr>
        <w:instrText xml:space="preserve"> HYPERLINK \l "_Toc17636" </w:instrText>
      </w:r>
      <w:r>
        <w:rPr>
          <w:color w:val="auto"/>
        </w:rPr>
        <w:fldChar w:fldCharType="separate"/>
      </w:r>
      <w:r>
        <w:rPr>
          <w:rFonts w:hint="eastAsia"/>
          <w:color w:val="auto"/>
        </w:rPr>
        <w:t>5.定标</w:t>
      </w:r>
      <w:r>
        <w:rPr>
          <w:color w:val="auto"/>
        </w:rPr>
        <w:tab/>
      </w:r>
      <w:r>
        <w:rPr>
          <w:color w:val="auto"/>
        </w:rPr>
        <w:fldChar w:fldCharType="end"/>
      </w:r>
    </w:p>
    <w:p>
      <w:pPr>
        <w:pStyle w:val="61"/>
        <w:tabs>
          <w:tab w:val="right" w:leader="dot" w:pos="8959"/>
          <w:tab w:val="clear" w:pos="8949"/>
        </w:tabs>
        <w:rPr>
          <w:color w:val="auto"/>
        </w:rPr>
      </w:pPr>
      <w:r>
        <w:rPr>
          <w:color w:val="auto"/>
        </w:rPr>
        <w:fldChar w:fldCharType="begin"/>
      </w:r>
      <w:r>
        <w:rPr>
          <w:color w:val="auto"/>
        </w:rPr>
        <w:instrText xml:space="preserve"> HYPERLINK \l "_Toc1363" </w:instrText>
      </w:r>
      <w:r>
        <w:rPr>
          <w:color w:val="auto"/>
        </w:rPr>
        <w:fldChar w:fldCharType="separate"/>
      </w:r>
      <w:r>
        <w:rPr>
          <w:rFonts w:hint="eastAsia" w:ascii="黑体" w:hAnsi="黑体"/>
          <w:color w:val="auto"/>
          <w:szCs w:val="32"/>
        </w:rPr>
        <w:t>第六章</w:t>
      </w:r>
      <w:r>
        <w:rPr>
          <w:rFonts w:ascii="黑体" w:hAnsi="黑体"/>
          <w:color w:val="auto"/>
          <w:szCs w:val="32"/>
        </w:rPr>
        <w:t xml:space="preserve">  </w:t>
      </w:r>
      <w:r>
        <w:rPr>
          <w:rFonts w:hint="eastAsia" w:ascii="黑体" w:hAnsi="黑体"/>
          <w:color w:val="auto"/>
          <w:szCs w:val="32"/>
        </w:rPr>
        <w:t>合同主要条款</w:t>
      </w:r>
      <w:r>
        <w:rPr>
          <w:color w:val="auto"/>
        </w:rPr>
        <w:tab/>
      </w:r>
      <w:r>
        <w:rPr>
          <w:color w:val="auto"/>
        </w:rPr>
        <w:fldChar w:fldCharType="end"/>
      </w:r>
    </w:p>
    <w:p>
      <w:pPr>
        <w:pStyle w:val="47"/>
        <w:ind w:firstLine="480"/>
        <w:rPr>
          <w:rFonts w:ascii="楷体" w:hAnsi="楷体" w:eastAsia="楷体"/>
          <w:b/>
          <w:color w:val="auto"/>
          <w:kern w:val="44"/>
          <w:sz w:val="28"/>
        </w:rPr>
      </w:pPr>
      <w:r>
        <w:rPr>
          <w:rFonts w:ascii="楷体" w:hAnsi="楷体" w:eastAsia="楷体"/>
          <w:color w:val="auto"/>
          <w:kern w:val="44"/>
        </w:rPr>
        <w:fldChar w:fldCharType="end"/>
      </w:r>
    </w:p>
    <w:p>
      <w:pPr>
        <w:pStyle w:val="47"/>
        <w:ind w:firstLine="480"/>
        <w:rPr>
          <w:rFonts w:cs="楷体"/>
          <w:color w:val="auto"/>
        </w:rPr>
        <w:sectPr>
          <w:headerReference r:id="rId11" w:type="default"/>
          <w:footerReference r:id="rId12" w:type="default"/>
          <w:pgSz w:w="11907" w:h="16840"/>
          <w:pgMar w:top="1440" w:right="1474" w:bottom="1440" w:left="1474" w:header="851" w:footer="992" w:gutter="0"/>
          <w:pgNumType w:fmt="lowerRoman" w:start="1"/>
          <w:cols w:space="720" w:num="1"/>
          <w:docGrid w:linePitch="312" w:charSpace="0"/>
        </w:sectPr>
      </w:pPr>
    </w:p>
    <w:p>
      <w:pPr>
        <w:pStyle w:val="3"/>
        <w:ind w:firstLine="643"/>
        <w:rPr>
          <w:rFonts w:ascii="宋体"/>
          <w:b w:val="0"/>
          <w:color w:val="auto"/>
          <w:sz w:val="24"/>
          <w:u w:val="single"/>
        </w:rPr>
      </w:pPr>
      <w:bookmarkStart w:id="10" w:name="_Toc513634995"/>
      <w:bookmarkStart w:id="11" w:name="_Toc513216345"/>
      <w:bookmarkStart w:id="12" w:name="_Toc14260"/>
      <w:r>
        <w:rPr>
          <w:rFonts w:hint="eastAsia" w:ascii="黑体" w:hAnsi="黑体"/>
          <w:color w:val="auto"/>
          <w:sz w:val="32"/>
          <w:szCs w:val="32"/>
        </w:rPr>
        <w:t>第一章</w:t>
      </w:r>
      <w:r>
        <w:rPr>
          <w:rFonts w:ascii="黑体" w:hAnsi="黑体"/>
          <w:color w:val="auto"/>
          <w:sz w:val="32"/>
          <w:szCs w:val="32"/>
        </w:rPr>
        <w:t xml:space="preserve">  </w:t>
      </w:r>
      <w:r>
        <w:rPr>
          <w:rFonts w:hint="eastAsia" w:ascii="黑体" w:hAnsi="黑体"/>
          <w:color w:val="auto"/>
          <w:sz w:val="32"/>
          <w:szCs w:val="32"/>
        </w:rPr>
        <w:t>比选邀请</w:t>
      </w:r>
      <w:bookmarkEnd w:id="10"/>
      <w:bookmarkEnd w:id="11"/>
      <w:bookmarkEnd w:id="12"/>
      <w:bookmarkStart w:id="13" w:name="_Toc213396759"/>
      <w:bookmarkStart w:id="14" w:name="_Toc213496267"/>
      <w:bookmarkStart w:id="15" w:name="_Toc213396945"/>
      <w:bookmarkStart w:id="16" w:name="_Toc217446031"/>
      <w:bookmarkStart w:id="17" w:name="_Toc213397009"/>
    </w:p>
    <w:p>
      <w:pPr>
        <w:ind w:firstLine="643"/>
        <w:jc w:val="left"/>
        <w:rPr>
          <w:b/>
          <w:bCs/>
          <w:color w:val="auto"/>
          <w:u w:val="single"/>
        </w:rPr>
      </w:pPr>
      <w:r>
        <w:rPr>
          <w:rFonts w:hint="eastAsia"/>
          <w:b/>
          <w:bCs/>
          <w:color w:val="auto"/>
          <w:u w:val="single"/>
        </w:rPr>
        <w:t>成都开放大学</w:t>
      </w:r>
      <w:r>
        <w:rPr>
          <w:rFonts w:hint="eastAsia"/>
          <w:color w:val="auto"/>
        </w:rPr>
        <w:t>拟对</w:t>
      </w:r>
      <w:r>
        <w:rPr>
          <w:rFonts w:hint="eastAsia"/>
          <w:b/>
          <w:color w:val="auto"/>
          <w:u w:val="single"/>
        </w:rPr>
        <w:t>办学评估支撑材料“数字化”归档工作采购项目</w:t>
      </w:r>
      <w:r>
        <w:rPr>
          <w:rFonts w:hint="eastAsia"/>
          <w:color w:val="auto"/>
        </w:rPr>
        <w:t>进行供应商比选活动，如贵单位有意参与本次比选，请及时办理比选报名手续并领取相关资料，并在本邀请规定的时间内提交响应文件。</w:t>
      </w:r>
    </w:p>
    <w:p>
      <w:pPr>
        <w:ind w:firstLine="482"/>
        <w:rPr>
          <w:color w:val="auto"/>
          <w:u w:val="single"/>
        </w:rPr>
      </w:pPr>
      <w:r>
        <w:rPr>
          <w:rFonts w:hint="eastAsia"/>
          <w:b/>
          <w:color w:val="auto"/>
        </w:rPr>
        <w:t>一、采购项目编号：</w:t>
      </w:r>
      <w:r>
        <w:rPr>
          <w:rFonts w:hint="eastAsia"/>
          <w:color w:val="auto"/>
        </w:rPr>
        <w:t>CD</w:t>
      </w:r>
      <w:r>
        <w:rPr>
          <w:rFonts w:hint="eastAsia"/>
          <w:color w:val="auto"/>
          <w:lang w:val="en-US" w:eastAsia="zh-CN"/>
        </w:rPr>
        <w:t>K</w:t>
      </w:r>
      <w:r>
        <w:rPr>
          <w:rFonts w:hint="eastAsia"/>
          <w:color w:val="auto"/>
        </w:rPr>
        <w:t>D (招)2023–ZLB（</w:t>
      </w:r>
      <w:r>
        <w:rPr>
          <w:rFonts w:hint="eastAsia"/>
          <w:color w:val="auto"/>
          <w:lang w:val="en-US" w:eastAsia="zh-CN"/>
        </w:rPr>
        <w:t>1008</w:t>
      </w:r>
      <w:r>
        <w:rPr>
          <w:rFonts w:hint="eastAsia"/>
          <w:color w:val="auto"/>
        </w:rPr>
        <w:t>）号；</w:t>
      </w:r>
      <w:r>
        <w:rPr>
          <w:color w:val="auto"/>
        </w:rPr>
        <w:t xml:space="preserve"> </w:t>
      </w:r>
    </w:p>
    <w:p>
      <w:pPr>
        <w:ind w:firstLine="482"/>
        <w:rPr>
          <w:color w:val="auto"/>
        </w:rPr>
      </w:pPr>
      <w:r>
        <w:rPr>
          <w:rFonts w:hint="eastAsia"/>
          <w:b/>
          <w:color w:val="auto"/>
        </w:rPr>
        <w:t>二、采购项目名称：</w:t>
      </w:r>
      <w:r>
        <w:rPr>
          <w:rFonts w:hint="eastAsia"/>
          <w:b/>
          <w:color w:val="auto"/>
          <w:u w:val="single"/>
        </w:rPr>
        <w:t>办学评估支撑材料“数字化”归档工作采购项目</w:t>
      </w:r>
      <w:r>
        <w:rPr>
          <w:rFonts w:hint="eastAsia"/>
          <w:color w:val="auto"/>
        </w:rPr>
        <w:t>；</w:t>
      </w:r>
    </w:p>
    <w:p>
      <w:pPr>
        <w:ind w:firstLine="482"/>
        <w:rPr>
          <w:b/>
          <w:bCs/>
          <w:color w:val="auto"/>
        </w:rPr>
      </w:pPr>
      <w:r>
        <w:rPr>
          <w:rFonts w:hint="eastAsia"/>
          <w:b/>
          <w:color w:val="auto"/>
          <w:szCs w:val="28"/>
        </w:rPr>
        <w:t>三、资金来源：</w:t>
      </w:r>
      <w:r>
        <w:rPr>
          <w:rFonts w:hint="eastAsia"/>
          <w:b/>
          <w:color w:val="auto"/>
          <w:szCs w:val="28"/>
          <w:lang w:val="en-US" w:eastAsia="zh-CN"/>
        </w:rPr>
        <w:t>财政性资金（已落实）；</w:t>
      </w:r>
    </w:p>
    <w:p>
      <w:pPr>
        <w:ind w:firstLine="482"/>
        <w:rPr>
          <w:color w:val="auto"/>
        </w:rPr>
      </w:pPr>
      <w:r>
        <w:rPr>
          <w:rFonts w:hint="eastAsia"/>
          <w:b/>
          <w:color w:val="auto"/>
        </w:rPr>
        <w:t>四</w:t>
      </w:r>
      <w:r>
        <w:rPr>
          <w:rFonts w:hint="eastAsia"/>
          <w:b/>
          <w:bCs/>
          <w:color w:val="auto"/>
        </w:rPr>
        <w:t>、</w:t>
      </w:r>
      <w:r>
        <w:rPr>
          <w:rFonts w:hint="eastAsia"/>
          <w:b/>
          <w:color w:val="auto"/>
        </w:rPr>
        <w:t>采购项目简介</w:t>
      </w:r>
      <w:r>
        <w:rPr>
          <w:rFonts w:hint="eastAsia"/>
          <w:color w:val="auto"/>
        </w:rPr>
        <w:t>：</w:t>
      </w:r>
    </w:p>
    <w:p>
      <w:pPr>
        <w:ind w:firstLine="480"/>
        <w:rPr>
          <w:rFonts w:hint="default" w:eastAsia="宋体"/>
          <w:color w:val="auto"/>
          <w:lang w:val="en-US" w:eastAsia="zh-CN"/>
        </w:rPr>
      </w:pPr>
      <w:r>
        <w:rPr>
          <w:rFonts w:hint="eastAsia"/>
          <w:color w:val="auto"/>
        </w:rPr>
        <w:t>1、办学评估支撑材料“数字化”归档工作采购项目</w:t>
      </w:r>
      <w:r>
        <w:rPr>
          <w:rFonts w:hint="eastAsia"/>
          <w:color w:val="auto"/>
          <w:lang w:eastAsia="zh-CN"/>
        </w:rPr>
        <w:t>，</w:t>
      </w:r>
      <w:r>
        <w:rPr>
          <w:rFonts w:hint="eastAsia"/>
          <w:color w:val="auto"/>
          <w:lang w:val="en-US" w:eastAsia="zh-CN"/>
        </w:rPr>
        <w:t>对项目档案规范化整理，文书档案数字化，配备一套单机版的档案管理系统等。</w:t>
      </w:r>
    </w:p>
    <w:p>
      <w:pPr>
        <w:ind w:firstLine="480"/>
        <w:rPr>
          <w:color w:val="auto"/>
        </w:rPr>
      </w:pPr>
      <w:r>
        <w:rPr>
          <w:rFonts w:hint="eastAsia"/>
          <w:color w:val="auto"/>
        </w:rPr>
        <w:t>备注：详见比选文件第四章。</w:t>
      </w:r>
    </w:p>
    <w:p>
      <w:pPr>
        <w:ind w:firstLine="482"/>
        <w:rPr>
          <w:color w:val="auto"/>
        </w:rPr>
      </w:pPr>
      <w:r>
        <w:rPr>
          <w:rFonts w:hint="eastAsia"/>
          <w:b/>
          <w:color w:val="auto"/>
        </w:rPr>
        <w:t>五、响应人参加本次采购活动应具备下列条件</w:t>
      </w:r>
      <w:r>
        <w:rPr>
          <w:rFonts w:hint="eastAsia"/>
          <w:color w:val="auto"/>
        </w:rPr>
        <w:t>：</w:t>
      </w:r>
    </w:p>
    <w:p>
      <w:pPr>
        <w:ind w:firstLine="480"/>
        <w:rPr>
          <w:color w:val="auto"/>
        </w:rPr>
      </w:pPr>
      <w:r>
        <w:rPr>
          <w:rFonts w:hint="eastAsia"/>
          <w:color w:val="auto"/>
        </w:rPr>
        <w:t>（</w:t>
      </w:r>
      <w:r>
        <w:rPr>
          <w:color w:val="auto"/>
        </w:rPr>
        <w:t>1</w:t>
      </w:r>
      <w:r>
        <w:rPr>
          <w:rFonts w:hint="eastAsia"/>
          <w:color w:val="auto"/>
        </w:rPr>
        <w:t>）具有独立承担民事责任的能力；</w:t>
      </w:r>
    </w:p>
    <w:p>
      <w:pPr>
        <w:ind w:firstLine="480"/>
        <w:rPr>
          <w:color w:val="auto"/>
        </w:rPr>
      </w:pPr>
      <w:r>
        <w:rPr>
          <w:rFonts w:hint="eastAsia"/>
          <w:color w:val="auto"/>
        </w:rPr>
        <w:t>（</w:t>
      </w:r>
      <w:r>
        <w:rPr>
          <w:color w:val="auto"/>
        </w:rPr>
        <w:t>2</w:t>
      </w:r>
      <w:r>
        <w:rPr>
          <w:rFonts w:hint="eastAsia"/>
          <w:color w:val="auto"/>
        </w:rPr>
        <w:t>）具有良好的商业信誉和健全的财务会计制度；</w:t>
      </w:r>
    </w:p>
    <w:p>
      <w:pPr>
        <w:ind w:firstLine="480"/>
        <w:rPr>
          <w:color w:val="auto"/>
        </w:rPr>
      </w:pPr>
      <w:r>
        <w:rPr>
          <w:rFonts w:hint="eastAsia"/>
          <w:color w:val="auto"/>
        </w:rPr>
        <w:t>（</w:t>
      </w:r>
      <w:r>
        <w:rPr>
          <w:color w:val="auto"/>
        </w:rPr>
        <w:t>3</w:t>
      </w:r>
      <w:r>
        <w:rPr>
          <w:rFonts w:hint="eastAsia"/>
          <w:color w:val="auto"/>
        </w:rPr>
        <w:t>）具有履行合同所必需的设备和专业技术能力；</w:t>
      </w:r>
    </w:p>
    <w:p>
      <w:pPr>
        <w:ind w:firstLine="480"/>
        <w:rPr>
          <w:color w:val="auto"/>
        </w:rPr>
      </w:pPr>
      <w:r>
        <w:rPr>
          <w:rFonts w:hint="eastAsia"/>
          <w:color w:val="auto"/>
        </w:rPr>
        <w:t>（</w:t>
      </w:r>
      <w:r>
        <w:rPr>
          <w:color w:val="auto"/>
        </w:rPr>
        <w:t>4</w:t>
      </w:r>
      <w:r>
        <w:rPr>
          <w:rFonts w:hint="eastAsia"/>
          <w:color w:val="auto"/>
        </w:rPr>
        <w:t>）有依法缴纳税收和社会保障资金的良好记录；</w:t>
      </w:r>
    </w:p>
    <w:p>
      <w:pPr>
        <w:ind w:firstLine="480"/>
        <w:rPr>
          <w:color w:val="auto"/>
        </w:rPr>
      </w:pPr>
      <w:r>
        <w:rPr>
          <w:rFonts w:hint="eastAsia"/>
          <w:color w:val="auto"/>
        </w:rPr>
        <w:t>（</w:t>
      </w:r>
      <w:r>
        <w:rPr>
          <w:color w:val="auto"/>
        </w:rPr>
        <w:t>5</w:t>
      </w:r>
      <w:r>
        <w:rPr>
          <w:rFonts w:hint="eastAsia"/>
          <w:color w:val="auto"/>
        </w:rPr>
        <w:t>）参加采购活动前三年内，在经营活动中没有重大违法记录；</w:t>
      </w:r>
    </w:p>
    <w:p>
      <w:pPr>
        <w:ind w:firstLine="480"/>
        <w:rPr>
          <w:color w:val="auto"/>
        </w:rPr>
      </w:pPr>
      <w:r>
        <w:rPr>
          <w:rFonts w:hint="eastAsia"/>
          <w:color w:val="auto"/>
        </w:rPr>
        <w:t>（</w:t>
      </w:r>
      <w:r>
        <w:rPr>
          <w:color w:val="auto"/>
        </w:rPr>
        <w:t>6</w:t>
      </w:r>
      <w:r>
        <w:rPr>
          <w:rFonts w:hint="eastAsia"/>
          <w:color w:val="auto"/>
        </w:rPr>
        <w:t>）法律、行政法规规定的其他条件；</w:t>
      </w:r>
    </w:p>
    <w:p>
      <w:pPr>
        <w:ind w:firstLine="480"/>
        <w:rPr>
          <w:rFonts w:hint="eastAsia" w:hAnsi="宋体" w:eastAsia="宋体"/>
          <w:bCs/>
          <w:color w:val="auto"/>
          <w:lang w:eastAsia="zh-CN"/>
        </w:rPr>
      </w:pPr>
      <w:r>
        <w:rPr>
          <w:rFonts w:hint="eastAsia"/>
          <w:color w:val="auto"/>
        </w:rPr>
        <w:t>（7）单位及其现任法定代表人、主要负责人近三年内不得具有行贿犯罪记录</w:t>
      </w:r>
      <w:r>
        <w:rPr>
          <w:rFonts w:hint="eastAsia"/>
          <w:color w:val="auto"/>
          <w:lang w:eastAsia="zh-CN"/>
        </w:rPr>
        <w:t>。</w:t>
      </w:r>
    </w:p>
    <w:p>
      <w:pPr>
        <w:ind w:firstLine="482"/>
        <w:rPr>
          <w:color w:val="auto"/>
        </w:rPr>
      </w:pPr>
      <w:r>
        <w:rPr>
          <w:rFonts w:hint="eastAsia"/>
          <w:b/>
          <w:color w:val="auto"/>
        </w:rPr>
        <w:t>六、比选文件发售时间、地点</w:t>
      </w:r>
      <w:r>
        <w:rPr>
          <w:rFonts w:hint="eastAsia"/>
          <w:color w:val="auto"/>
        </w:rPr>
        <w:t>：</w:t>
      </w:r>
    </w:p>
    <w:p>
      <w:pPr>
        <w:ind w:firstLine="480"/>
        <w:rPr>
          <w:rFonts w:hint="eastAsia" w:eastAsia="宋体"/>
          <w:color w:val="auto"/>
          <w:lang w:eastAsia="zh-CN"/>
        </w:rPr>
      </w:pPr>
      <w:r>
        <w:rPr>
          <w:rFonts w:hint="eastAsia"/>
          <w:color w:val="auto"/>
        </w:rPr>
        <w:t>比选文件自20</w:t>
      </w:r>
      <w:r>
        <w:rPr>
          <w:rFonts w:hint="eastAsia"/>
          <w:color w:val="auto"/>
          <w:lang w:val="en-US" w:eastAsia="zh-CN"/>
        </w:rPr>
        <w:t>23</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8</w:t>
      </w:r>
      <w:r>
        <w:rPr>
          <w:rFonts w:hint="eastAsia"/>
          <w:color w:val="auto"/>
        </w:rPr>
        <w:t>日至20</w:t>
      </w:r>
      <w:r>
        <w:rPr>
          <w:rFonts w:hint="eastAsia"/>
          <w:color w:val="auto"/>
          <w:lang w:val="en-US" w:eastAsia="zh-CN"/>
        </w:rPr>
        <w:t>23</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10</w:t>
      </w:r>
      <w:r>
        <w:rPr>
          <w:rFonts w:hint="eastAsia"/>
          <w:color w:val="auto"/>
        </w:rPr>
        <w:t>日09:00-17:00（节假日除外）以附件形式挂成都开放大学校网</w:t>
      </w:r>
      <w:r>
        <w:rPr>
          <w:rFonts w:hint="eastAsia"/>
          <w:color w:val="auto"/>
          <w:lang w:eastAsia="zh-CN"/>
        </w:rPr>
        <w:t>（http://www.cdou.edu.cn/）</w:t>
      </w:r>
    </w:p>
    <w:p>
      <w:pPr>
        <w:ind w:firstLine="480"/>
        <w:rPr>
          <w:rFonts w:cs="宋体"/>
          <w:color w:val="auto"/>
          <w:kern w:val="0"/>
        </w:rPr>
      </w:pPr>
      <w:r>
        <w:rPr>
          <w:rFonts w:hint="eastAsia"/>
          <w:bCs/>
          <w:color w:val="auto"/>
        </w:rPr>
        <w:t>比选文件售价：不收费（比选主体资格不能转让）。</w:t>
      </w:r>
      <w:r>
        <w:rPr>
          <w:bCs/>
          <w:color w:val="auto"/>
        </w:rPr>
        <w:br w:type="textWrapping"/>
      </w:r>
      <w:r>
        <w:rPr>
          <w:rFonts w:hint="eastAsia"/>
          <w:bCs/>
          <w:color w:val="auto"/>
        </w:rPr>
        <w:t xml:space="preserve">    </w:t>
      </w:r>
      <w:r>
        <w:rPr>
          <w:rFonts w:hint="eastAsia" w:cs="宋体"/>
          <w:color w:val="auto"/>
          <w:kern w:val="0"/>
        </w:rPr>
        <w:t>注：供应商行下载比选文件电子档。</w:t>
      </w:r>
    </w:p>
    <w:p>
      <w:pPr>
        <w:ind w:firstLine="482"/>
        <w:rPr>
          <w:rFonts w:ascii="宋体"/>
          <w:b/>
          <w:bCs/>
          <w:color w:val="auto"/>
        </w:rPr>
      </w:pPr>
      <w:r>
        <w:rPr>
          <w:rFonts w:hint="eastAsia" w:ascii="宋体" w:hAnsi="宋体"/>
          <w:b/>
          <w:bCs/>
          <w:color w:val="auto"/>
        </w:rPr>
        <w:t>七、响应文件递交截止时间：</w:t>
      </w:r>
    </w:p>
    <w:p>
      <w:pPr>
        <w:ind w:firstLine="482"/>
        <w:rPr>
          <w:color w:val="auto"/>
        </w:rPr>
      </w:pPr>
      <w:r>
        <w:rPr>
          <w:rFonts w:hint="eastAsia"/>
          <w:b/>
          <w:color w:val="auto"/>
        </w:rPr>
        <w:t>响应文件递交截止时间：20</w:t>
      </w:r>
      <w:r>
        <w:rPr>
          <w:rFonts w:hint="eastAsia"/>
          <w:b/>
          <w:color w:val="auto"/>
          <w:lang w:val="en-US" w:eastAsia="zh-CN"/>
        </w:rPr>
        <w:t>23</w:t>
      </w:r>
      <w:r>
        <w:rPr>
          <w:rFonts w:hint="eastAsia"/>
          <w:b/>
          <w:color w:val="auto"/>
        </w:rPr>
        <w:t>年</w:t>
      </w:r>
      <w:r>
        <w:rPr>
          <w:rFonts w:hint="eastAsia"/>
          <w:b/>
          <w:color w:val="auto"/>
          <w:lang w:val="en-US" w:eastAsia="zh-CN"/>
        </w:rPr>
        <w:t>10</w:t>
      </w:r>
      <w:r>
        <w:rPr>
          <w:rFonts w:hint="eastAsia"/>
          <w:b/>
          <w:color w:val="auto"/>
        </w:rPr>
        <w:t>月</w:t>
      </w:r>
      <w:r>
        <w:rPr>
          <w:rFonts w:hint="eastAsia"/>
          <w:b/>
          <w:color w:val="auto"/>
          <w:lang w:val="en-US" w:eastAsia="zh-CN"/>
        </w:rPr>
        <w:t>11</w:t>
      </w:r>
      <w:r>
        <w:rPr>
          <w:rFonts w:hint="eastAsia"/>
          <w:b/>
          <w:color w:val="auto"/>
        </w:rPr>
        <w:t>日1</w:t>
      </w:r>
      <w:r>
        <w:rPr>
          <w:rFonts w:hint="eastAsia"/>
          <w:b/>
          <w:color w:val="auto"/>
          <w:lang w:val="en-US" w:eastAsia="zh-CN"/>
        </w:rPr>
        <w:t>0</w:t>
      </w:r>
      <w:r>
        <w:rPr>
          <w:rFonts w:hint="eastAsia"/>
          <w:b/>
          <w:color w:val="auto"/>
        </w:rPr>
        <w:t>:00（北京时间）</w:t>
      </w:r>
      <w:r>
        <w:rPr>
          <w:rFonts w:hint="eastAsia"/>
          <w:color w:val="auto"/>
        </w:rPr>
        <w:t>。</w:t>
      </w:r>
    </w:p>
    <w:p>
      <w:pPr>
        <w:ind w:firstLine="480"/>
        <w:rPr>
          <w:color w:val="auto"/>
        </w:rPr>
      </w:pPr>
      <w:r>
        <w:rPr>
          <w:rFonts w:hint="eastAsia"/>
          <w:color w:val="auto"/>
        </w:rPr>
        <w:t>响应文件必须在截止时间前送达规定地点。逾期送达或密封和标注不符合比选文件规定的响应文件恕不接受。本次比选不接受邮寄的响应文件。</w:t>
      </w:r>
    </w:p>
    <w:p>
      <w:pPr>
        <w:ind w:firstLine="482"/>
        <w:rPr>
          <w:color w:val="auto"/>
        </w:rPr>
      </w:pPr>
      <w:r>
        <w:rPr>
          <w:rFonts w:hint="eastAsia"/>
          <w:b/>
          <w:color w:val="auto"/>
        </w:rPr>
        <w:t>比选地点：</w:t>
      </w:r>
      <w:r>
        <w:rPr>
          <w:rFonts w:hint="eastAsia"/>
          <w:color w:val="auto"/>
        </w:rPr>
        <w:t>成都市双流区南湖南路999号成都开放大学天府校区综合楼四楼401会议室。</w:t>
      </w:r>
    </w:p>
    <w:p>
      <w:pPr>
        <w:ind w:firstLine="482"/>
        <w:rPr>
          <w:rFonts w:hint="eastAsia"/>
          <w:b/>
          <w:color w:val="auto"/>
        </w:rPr>
      </w:pPr>
      <w:r>
        <w:rPr>
          <w:rFonts w:hint="eastAsia"/>
          <w:b/>
          <w:color w:val="auto"/>
        </w:rPr>
        <w:t>八、本比选公告在</w:t>
      </w:r>
      <w:r>
        <w:rPr>
          <w:rFonts w:hint="eastAsia"/>
          <w:b/>
          <w:color w:val="auto"/>
          <w:lang w:val="en-US" w:eastAsia="zh-CN"/>
        </w:rPr>
        <w:t>成都开放大学官</w:t>
      </w:r>
      <w:r>
        <w:rPr>
          <w:rFonts w:hint="eastAsia"/>
          <w:b/>
          <w:color w:val="auto"/>
        </w:rPr>
        <w:t>网</w:t>
      </w:r>
      <w:r>
        <w:rPr>
          <w:rFonts w:hint="eastAsia"/>
          <w:b/>
          <w:color w:val="auto"/>
          <w:lang w:eastAsia="zh-CN"/>
        </w:rPr>
        <w:t>（</w:t>
      </w:r>
      <w:bookmarkStart w:id="869" w:name="_GoBack"/>
      <w:r>
        <w:rPr>
          <w:rFonts w:hint="eastAsia"/>
          <w:b/>
          <w:color w:val="auto"/>
        </w:rPr>
        <w:t>http://www.</w:t>
      </w:r>
      <w:r>
        <w:rPr>
          <w:b/>
          <w:color w:val="auto"/>
        </w:rPr>
        <w:t>cdou.edu</w:t>
      </w:r>
      <w:r>
        <w:rPr>
          <w:rFonts w:hint="eastAsia"/>
          <w:b/>
          <w:color w:val="auto"/>
        </w:rPr>
        <w:t>.c</w:t>
      </w:r>
      <w:r>
        <w:rPr>
          <w:b/>
          <w:color w:val="auto"/>
        </w:rPr>
        <w:t>n</w:t>
      </w:r>
      <w:bookmarkEnd w:id="869"/>
      <w:r>
        <w:rPr>
          <w:rFonts w:hint="eastAsia"/>
          <w:b/>
          <w:color w:val="auto"/>
          <w:lang w:eastAsia="zh-CN"/>
        </w:rPr>
        <w:t>）</w:t>
      </w:r>
      <w:r>
        <w:rPr>
          <w:rFonts w:hint="eastAsia"/>
          <w:b/>
          <w:color w:val="auto"/>
        </w:rPr>
        <w:t>上以公告形式发布。</w:t>
      </w:r>
    </w:p>
    <w:p>
      <w:pPr>
        <w:ind w:firstLine="480"/>
        <w:jc w:val="right"/>
        <w:rPr>
          <w:color w:val="auto"/>
        </w:rPr>
      </w:pPr>
      <w:r>
        <w:rPr>
          <w:rFonts w:hint="eastAsia"/>
          <w:color w:val="auto"/>
        </w:rPr>
        <w:t>成都开放大学</w:t>
      </w:r>
    </w:p>
    <w:p>
      <w:pPr>
        <w:ind w:firstLine="480"/>
        <w:jc w:val="right"/>
        <w:rPr>
          <w:color w:val="auto"/>
        </w:rPr>
      </w:pPr>
      <w:r>
        <w:rPr>
          <w:rFonts w:hint="eastAsia" w:ascii="宋体" w:hAnsi="宋体"/>
          <w:bCs/>
          <w:color w:val="auto"/>
        </w:rPr>
        <w:t>二〇二三年</w:t>
      </w:r>
      <w:r>
        <w:rPr>
          <w:rFonts w:hint="eastAsia" w:ascii="宋体" w:hAnsi="宋体"/>
          <w:bCs/>
          <w:color w:val="auto"/>
          <w:lang w:val="en-US" w:eastAsia="zh-CN"/>
        </w:rPr>
        <w:t>十</w:t>
      </w:r>
      <w:r>
        <w:rPr>
          <w:rFonts w:hint="eastAsia" w:ascii="宋体" w:hAnsi="宋体"/>
          <w:bCs/>
          <w:color w:val="auto"/>
        </w:rPr>
        <w:t>月</w:t>
      </w:r>
    </w:p>
    <w:p>
      <w:pPr>
        <w:spacing w:after="50"/>
        <w:ind w:firstLine="600" w:firstLineChars="250"/>
        <w:rPr>
          <w:rFonts w:ascii="宋体"/>
          <w:bCs/>
          <w:color w:val="auto"/>
        </w:rPr>
      </w:pPr>
    </w:p>
    <w:p>
      <w:pPr>
        <w:spacing w:after="50"/>
        <w:ind w:firstLine="600" w:firstLineChars="250"/>
        <w:rPr>
          <w:rFonts w:ascii="宋体"/>
          <w:bCs/>
          <w:color w:val="auto"/>
        </w:rPr>
      </w:pPr>
    </w:p>
    <w:p>
      <w:pPr>
        <w:ind w:firstLine="480"/>
        <w:rPr>
          <w:color w:val="auto"/>
        </w:rPr>
      </w:pPr>
    </w:p>
    <w:p>
      <w:pPr>
        <w:ind w:firstLine="480"/>
        <w:rPr>
          <w:color w:val="auto"/>
        </w:rPr>
      </w:pPr>
    </w:p>
    <w:p>
      <w:pPr>
        <w:pStyle w:val="3"/>
        <w:spacing w:line="240" w:lineRule="atLeast"/>
        <w:ind w:firstLine="723"/>
        <w:rPr>
          <w:color w:val="auto"/>
          <w:sz w:val="32"/>
          <w:szCs w:val="32"/>
        </w:rPr>
      </w:pPr>
      <w:r>
        <w:rPr>
          <w:color w:val="auto"/>
          <w:sz w:val="36"/>
          <w:szCs w:val="36"/>
        </w:rPr>
        <w:br w:type="page"/>
      </w:r>
      <w:bookmarkStart w:id="18" w:name="_Toc30730"/>
      <w:bookmarkStart w:id="19" w:name="_Toc513216346"/>
      <w:bookmarkStart w:id="20" w:name="_Toc513634996"/>
      <w:r>
        <w:rPr>
          <w:rFonts w:hint="eastAsia" w:ascii="黑体" w:hAnsi="黑体"/>
          <w:color w:val="auto"/>
          <w:sz w:val="32"/>
          <w:szCs w:val="32"/>
        </w:rPr>
        <w:t>第二章</w:t>
      </w:r>
      <w:r>
        <w:rPr>
          <w:rFonts w:ascii="黑体" w:hAnsi="黑体"/>
          <w:color w:val="auto"/>
          <w:sz w:val="32"/>
          <w:szCs w:val="32"/>
        </w:rPr>
        <w:t xml:space="preserve">  </w:t>
      </w:r>
      <w:r>
        <w:rPr>
          <w:rFonts w:hint="eastAsia" w:ascii="黑体" w:hAnsi="黑体"/>
          <w:color w:val="auto"/>
          <w:sz w:val="32"/>
          <w:szCs w:val="32"/>
        </w:rPr>
        <w:t>响应人须知</w:t>
      </w:r>
      <w:bookmarkEnd w:id="13"/>
      <w:bookmarkEnd w:id="14"/>
      <w:bookmarkEnd w:id="15"/>
      <w:bookmarkEnd w:id="16"/>
      <w:bookmarkEnd w:id="17"/>
      <w:bookmarkEnd w:id="18"/>
      <w:bookmarkEnd w:id="19"/>
      <w:bookmarkEnd w:id="20"/>
    </w:p>
    <w:p>
      <w:pPr>
        <w:pStyle w:val="4"/>
        <w:rPr>
          <w:color w:val="auto"/>
        </w:rPr>
      </w:pPr>
      <w:bookmarkStart w:id="21" w:name="_Toc213396946"/>
      <w:bookmarkStart w:id="22" w:name="_Toc513634997"/>
      <w:bookmarkStart w:id="23" w:name="_Toc513216347"/>
      <w:bookmarkStart w:id="24" w:name="_Toc217446032"/>
      <w:bookmarkStart w:id="25" w:name="_Toc361258135"/>
      <w:bookmarkStart w:id="26" w:name="_Toc213396760"/>
      <w:bookmarkStart w:id="27" w:name="_Toc1529"/>
      <w:bookmarkStart w:id="28" w:name="_Toc189727030"/>
      <w:bookmarkStart w:id="29" w:name="_Toc213397010"/>
      <w:bookmarkStart w:id="30" w:name="_Toc213496268"/>
      <w:r>
        <w:rPr>
          <w:rFonts w:hint="eastAsia"/>
          <w:color w:val="auto"/>
        </w:rPr>
        <w:t>一、响应人须知附表</w:t>
      </w:r>
      <w:bookmarkEnd w:id="21"/>
      <w:bookmarkEnd w:id="22"/>
      <w:bookmarkEnd w:id="23"/>
      <w:bookmarkEnd w:id="24"/>
      <w:bookmarkEnd w:id="25"/>
      <w:bookmarkEnd w:id="26"/>
      <w:bookmarkEnd w:id="27"/>
      <w:bookmarkEnd w:id="28"/>
      <w:bookmarkEnd w:id="29"/>
      <w:bookmarkEnd w:id="30"/>
    </w:p>
    <w:tbl>
      <w:tblPr>
        <w:tblStyle w:val="89"/>
        <w:tblW w:w="10127"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977"/>
        <w:gridCol w:w="2408"/>
        <w:gridCol w:w="6742"/>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977" w:type="dxa"/>
            <w:tcBorders>
              <w:top w:val="double" w:color="auto" w:sz="4" w:space="0"/>
              <w:left w:val="double" w:color="auto" w:sz="4" w:space="0"/>
              <w:bottom w:val="single" w:color="auto" w:sz="8" w:space="0"/>
              <w:right w:val="single" w:color="auto" w:sz="8" w:space="0"/>
            </w:tcBorders>
            <w:vAlign w:val="center"/>
          </w:tcPr>
          <w:p>
            <w:pPr>
              <w:pStyle w:val="326"/>
              <w:spacing w:line="360" w:lineRule="exact"/>
              <w:ind w:left="9"/>
              <w:jc w:val="center"/>
              <w:rPr>
                <w:b/>
                <w:color w:val="auto"/>
                <w:lang w:val="zh-CN"/>
              </w:rPr>
            </w:pPr>
            <w:r>
              <w:rPr>
                <w:rFonts w:hint="eastAsia"/>
                <w:b/>
                <w:color w:val="auto"/>
                <w:lang w:val="zh-CN"/>
              </w:rPr>
              <w:t>序号</w:t>
            </w:r>
          </w:p>
        </w:tc>
        <w:tc>
          <w:tcPr>
            <w:tcW w:w="2408" w:type="dxa"/>
            <w:tcBorders>
              <w:top w:val="double" w:color="auto" w:sz="4" w:space="0"/>
              <w:left w:val="single" w:color="auto" w:sz="8" w:space="0"/>
              <w:bottom w:val="single" w:color="auto" w:sz="8" w:space="0"/>
              <w:right w:val="single" w:color="auto" w:sz="8" w:space="0"/>
            </w:tcBorders>
            <w:vAlign w:val="center"/>
          </w:tcPr>
          <w:p>
            <w:pPr>
              <w:pStyle w:val="326"/>
              <w:spacing w:line="360" w:lineRule="exact"/>
              <w:ind w:left="38"/>
              <w:jc w:val="center"/>
              <w:rPr>
                <w:b/>
                <w:color w:val="auto"/>
                <w:lang w:val="zh-CN"/>
              </w:rPr>
            </w:pPr>
            <w:r>
              <w:rPr>
                <w:rFonts w:hint="eastAsia"/>
                <w:b/>
                <w:color w:val="auto"/>
                <w:lang w:val="zh-CN"/>
              </w:rPr>
              <w:t>条款名称</w:t>
            </w:r>
          </w:p>
        </w:tc>
        <w:tc>
          <w:tcPr>
            <w:tcW w:w="6742" w:type="dxa"/>
            <w:tcBorders>
              <w:top w:val="double" w:color="auto" w:sz="4" w:space="0"/>
              <w:left w:val="single" w:color="auto" w:sz="8" w:space="0"/>
              <w:bottom w:val="single" w:color="auto" w:sz="8" w:space="0"/>
              <w:right w:val="double" w:color="auto" w:sz="4" w:space="0"/>
            </w:tcBorders>
            <w:vAlign w:val="center"/>
          </w:tcPr>
          <w:p>
            <w:pPr>
              <w:pStyle w:val="326"/>
              <w:spacing w:line="360" w:lineRule="exact"/>
              <w:jc w:val="center"/>
              <w:rPr>
                <w:b/>
                <w:color w:val="auto"/>
                <w:lang w:val="zh-CN"/>
              </w:rPr>
            </w:pPr>
            <w:r>
              <w:rPr>
                <w:rFonts w:hint="eastAsia"/>
                <w:b/>
                <w:color w:val="auto"/>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1</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jc w:val="center"/>
              <w:rPr>
                <w:color w:val="auto"/>
                <w:lang w:val="zh-CN"/>
              </w:rPr>
            </w:pPr>
            <w:r>
              <w:rPr>
                <w:rFonts w:hint="eastAsia"/>
                <w:color w:val="auto"/>
                <w:lang w:val="zh-CN"/>
              </w:rPr>
              <w:t>采购人</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rPr>
                <w:color w:val="auto"/>
                <w:lang w:val="zh-CN"/>
              </w:rPr>
            </w:pPr>
            <w:r>
              <w:rPr>
                <w:rFonts w:hint="eastAsia"/>
                <w:color w:val="auto"/>
                <w:lang w:val="zh-CN"/>
              </w:rPr>
              <w:t>采购人：成都开放大学</w:t>
            </w:r>
          </w:p>
          <w:p>
            <w:pPr>
              <w:pStyle w:val="326"/>
              <w:spacing w:line="360" w:lineRule="exact"/>
              <w:rPr>
                <w:color w:val="auto"/>
                <w:highlight w:val="yellow"/>
                <w:lang w:val="zh-CN"/>
              </w:rPr>
            </w:pPr>
            <w:r>
              <w:rPr>
                <w:rFonts w:hint="eastAsia"/>
                <w:color w:val="auto"/>
                <w:lang w:val="zh-CN"/>
              </w:rPr>
              <w:t>地</w:t>
            </w:r>
            <w:r>
              <w:rPr>
                <w:color w:val="auto"/>
                <w:lang w:val="zh-CN"/>
              </w:rPr>
              <w:t xml:space="preserve">  </w:t>
            </w:r>
            <w:r>
              <w:rPr>
                <w:rFonts w:hint="eastAsia"/>
                <w:color w:val="auto"/>
                <w:lang w:val="zh-CN"/>
              </w:rPr>
              <w:t>址：成都市双流区南湖南路999号</w:t>
            </w:r>
          </w:p>
          <w:p>
            <w:pPr>
              <w:pStyle w:val="326"/>
              <w:spacing w:line="360" w:lineRule="exact"/>
              <w:rPr>
                <w:rFonts w:hint="eastAsia"/>
                <w:color w:val="auto"/>
                <w:lang w:val="zh-CN"/>
              </w:rPr>
            </w:pPr>
            <w:r>
              <w:rPr>
                <w:rFonts w:hint="eastAsia"/>
                <w:color w:val="auto"/>
                <w:lang w:val="zh-CN"/>
              </w:rPr>
              <w:t>联系人：</w:t>
            </w:r>
            <w:r>
              <w:rPr>
                <w:rFonts w:hint="eastAsia"/>
                <w:color w:val="auto"/>
                <w:lang w:val="en-US" w:eastAsia="zh-CN"/>
              </w:rPr>
              <w:t>彭欢</w:t>
            </w:r>
          </w:p>
          <w:p>
            <w:pPr>
              <w:pStyle w:val="326"/>
              <w:spacing w:line="360" w:lineRule="exact"/>
              <w:rPr>
                <w:color w:val="auto"/>
                <w:lang w:val="zh-CN"/>
              </w:rPr>
            </w:pPr>
            <w:r>
              <w:rPr>
                <w:rFonts w:hint="eastAsia"/>
                <w:color w:val="auto"/>
                <w:lang w:val="zh-CN"/>
              </w:rPr>
              <w:t>电  话：</w:t>
            </w:r>
            <w:r>
              <w:rPr>
                <w:rFonts w:hint="eastAsia"/>
                <w:color w:val="auto"/>
                <w:lang w:val="en-US" w:eastAsia="zh-CN"/>
              </w:rPr>
              <w:t>028-86362841</w:t>
            </w:r>
            <w:r>
              <w:rPr>
                <w:rFonts w:hint="eastAsia"/>
                <w:color w:val="auto"/>
                <w:lang w:val="zh-CN"/>
              </w:rPr>
              <w:t xml:space="preserve">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2</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38"/>
              <w:jc w:val="center"/>
              <w:rPr>
                <w:color w:val="auto"/>
                <w:lang w:val="zh-CN"/>
              </w:rPr>
            </w:pPr>
            <w:r>
              <w:rPr>
                <w:rFonts w:hint="eastAsia"/>
                <w:color w:val="auto"/>
                <w:lang w:val="zh-CN"/>
              </w:rPr>
              <w:t>采购预算</w:t>
            </w:r>
          </w:p>
          <w:p>
            <w:pPr>
              <w:pStyle w:val="326"/>
              <w:spacing w:line="360" w:lineRule="exact"/>
              <w:ind w:left="38"/>
              <w:jc w:val="center"/>
              <w:rPr>
                <w:color w:val="auto"/>
                <w:lang w:val="zh-CN"/>
              </w:rPr>
            </w:pPr>
            <w:r>
              <w:rPr>
                <w:rFonts w:hint="eastAsia"/>
                <w:color w:val="auto"/>
                <w:lang w:val="zh-CN"/>
              </w:rPr>
              <w:t>（最高限价）</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rPr>
                <w:color w:val="auto"/>
              </w:rPr>
            </w:pPr>
            <w:r>
              <w:rPr>
                <w:rFonts w:hint="eastAsia"/>
                <w:color w:val="auto"/>
              </w:rPr>
              <w:t>人民币</w:t>
            </w:r>
            <w:r>
              <w:rPr>
                <w:rFonts w:hint="eastAsia"/>
                <w:color w:val="auto"/>
                <w:lang w:val="en-US" w:eastAsia="zh-CN"/>
              </w:rPr>
              <w:t>6.5</w:t>
            </w:r>
            <w:r>
              <w:rPr>
                <w:rFonts w:hint="eastAsia"/>
                <w:color w:val="auto"/>
              </w:rPr>
              <w:t>万元（响应人报价不得超过最高限价，否则视为无效比选）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3</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96"/>
              <w:jc w:val="center"/>
              <w:rPr>
                <w:color w:val="auto"/>
                <w:lang w:val="zh-CN"/>
              </w:rPr>
            </w:pPr>
            <w:r>
              <w:rPr>
                <w:rFonts w:hint="eastAsia"/>
                <w:color w:val="auto"/>
                <w:lang w:val="zh-CN"/>
              </w:rPr>
              <w:t>评标方法</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rPr>
                <w:color w:val="auto"/>
                <w:lang w:val="zh-CN"/>
              </w:rPr>
            </w:pPr>
            <w:r>
              <w:rPr>
                <w:rFonts w:hint="eastAsia"/>
                <w:color w:val="auto"/>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63"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4</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96"/>
              <w:jc w:val="center"/>
              <w:rPr>
                <w:color w:val="auto"/>
                <w:lang w:val="zh-CN"/>
              </w:rPr>
            </w:pPr>
            <w:r>
              <w:rPr>
                <w:rFonts w:hint="eastAsia"/>
                <w:color w:val="auto"/>
                <w:lang w:val="zh-CN"/>
              </w:rPr>
              <w:t>服务期限、地点</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jc w:val="both"/>
              <w:rPr>
                <w:rFonts w:hint="eastAsia"/>
                <w:color w:val="auto"/>
                <w:lang w:val="zh-CN"/>
              </w:rPr>
            </w:pPr>
            <w:r>
              <w:rPr>
                <w:rFonts w:hint="eastAsia"/>
                <w:color w:val="auto"/>
                <w:lang w:val="zh-CN"/>
              </w:rPr>
              <w:t>服务期限：合同签订生效后6个月内交付。</w:t>
            </w:r>
          </w:p>
          <w:p>
            <w:pPr>
              <w:pStyle w:val="326"/>
              <w:spacing w:line="360" w:lineRule="exact"/>
              <w:jc w:val="both"/>
              <w:rPr>
                <w:color w:val="auto"/>
                <w:lang w:val="zh-CN"/>
              </w:rPr>
            </w:pPr>
            <w:r>
              <w:rPr>
                <w:rFonts w:hint="eastAsia"/>
                <w:color w:val="auto"/>
                <w:lang w:val="zh-CN"/>
              </w:rPr>
              <w:t>服务地点：成都开放大学指定地点</w:t>
            </w:r>
            <w:r>
              <w:rPr>
                <w:rFonts w:hint="eastAsia"/>
                <w:color w:val="auto"/>
              </w:rPr>
              <w:t>。</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28"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5</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96"/>
              <w:jc w:val="center"/>
              <w:rPr>
                <w:color w:val="auto"/>
                <w:lang w:val="zh-CN"/>
              </w:rPr>
            </w:pPr>
            <w:r>
              <w:rPr>
                <w:rFonts w:hint="eastAsia"/>
                <w:color w:val="auto"/>
                <w:lang w:val="zh-CN"/>
              </w:rPr>
              <w:t>质量要求、验收标准</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jc w:val="both"/>
              <w:rPr>
                <w:color w:val="auto"/>
              </w:rPr>
            </w:pPr>
            <w:r>
              <w:rPr>
                <w:rFonts w:hint="eastAsia"/>
                <w:color w:val="auto"/>
                <w:lang w:val="zh-CN"/>
              </w:rPr>
              <w:t>质量要求：达到国家现行</w:t>
            </w:r>
            <w:r>
              <w:rPr>
                <w:rFonts w:hint="eastAsia"/>
                <w:color w:val="auto"/>
              </w:rPr>
              <w:t>技术标准。</w:t>
            </w:r>
          </w:p>
          <w:p>
            <w:pPr>
              <w:pStyle w:val="326"/>
              <w:spacing w:line="360" w:lineRule="exact"/>
              <w:jc w:val="both"/>
              <w:rPr>
                <w:color w:val="auto"/>
              </w:rPr>
            </w:pPr>
            <w:r>
              <w:rPr>
                <w:rFonts w:hint="eastAsia"/>
                <w:color w:val="auto"/>
              </w:rPr>
              <w:t>验收标准：按国家相关标准。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6</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jc w:val="center"/>
              <w:rPr>
                <w:color w:val="auto"/>
                <w:lang w:val="zh-CN"/>
              </w:rPr>
            </w:pPr>
            <w:r>
              <w:rPr>
                <w:rFonts w:hint="eastAsia"/>
                <w:color w:val="auto"/>
                <w:lang w:val="zh-CN"/>
              </w:rPr>
              <w:t>比选有效期</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jc w:val="both"/>
              <w:rPr>
                <w:rFonts w:hint="eastAsia" w:ascii="宋体" w:hAnsi="宋体" w:eastAsia="宋体" w:cs="宋体"/>
                <w:color w:val="auto"/>
                <w:kern w:val="0"/>
                <w:sz w:val="24"/>
                <w:szCs w:val="24"/>
                <w:lang w:val="zh-CN" w:eastAsia="zh-CN" w:bidi="ar-SA"/>
              </w:rPr>
            </w:pPr>
            <w:r>
              <w:rPr>
                <w:rFonts w:hint="eastAsia" w:cs="宋体"/>
                <w:color w:val="auto"/>
                <w:kern w:val="0"/>
                <w:sz w:val="24"/>
                <w:szCs w:val="24"/>
                <w:lang w:val="en-US" w:eastAsia="zh-CN" w:bidi="ar-SA"/>
              </w:rPr>
              <w:t>7</w:t>
            </w:r>
            <w:r>
              <w:rPr>
                <w:rFonts w:hint="eastAsia" w:ascii="宋体" w:hAnsi="宋体" w:eastAsia="宋体" w:cs="宋体"/>
                <w:color w:val="auto"/>
                <w:kern w:val="0"/>
                <w:sz w:val="24"/>
                <w:szCs w:val="24"/>
                <w:lang w:val="zh-CN" w:eastAsia="zh-CN" w:bidi="ar-SA"/>
              </w:rPr>
              <w:t>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7</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52"/>
              <w:jc w:val="center"/>
              <w:rPr>
                <w:color w:val="auto"/>
                <w:lang w:val="zh-CN"/>
              </w:rPr>
            </w:pPr>
            <w:r>
              <w:rPr>
                <w:rFonts w:hint="eastAsia"/>
                <w:color w:val="auto"/>
                <w:lang w:val="zh-CN"/>
              </w:rPr>
              <w:t>构成比选文件</w:t>
            </w:r>
          </w:p>
          <w:p>
            <w:pPr>
              <w:pStyle w:val="326"/>
              <w:spacing w:line="360" w:lineRule="exact"/>
              <w:ind w:left="52"/>
              <w:jc w:val="center"/>
              <w:rPr>
                <w:color w:val="auto"/>
                <w:lang w:val="zh-CN"/>
              </w:rPr>
            </w:pPr>
            <w:r>
              <w:rPr>
                <w:rFonts w:hint="eastAsia"/>
                <w:color w:val="auto"/>
                <w:lang w:val="zh-CN"/>
              </w:rPr>
              <w:t>的其他文件</w:t>
            </w:r>
          </w:p>
        </w:tc>
        <w:tc>
          <w:tcPr>
            <w:tcW w:w="6742" w:type="dxa"/>
            <w:tcBorders>
              <w:top w:val="single" w:color="auto" w:sz="8" w:space="0"/>
              <w:left w:val="single" w:color="auto" w:sz="8" w:space="0"/>
              <w:bottom w:val="single" w:color="auto" w:sz="8" w:space="0"/>
              <w:right w:val="double" w:color="auto" w:sz="4" w:space="0"/>
            </w:tcBorders>
            <w:vAlign w:val="center"/>
          </w:tcPr>
          <w:p>
            <w:pPr>
              <w:pStyle w:val="326"/>
              <w:spacing w:line="360" w:lineRule="exact"/>
              <w:jc w:val="both"/>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比选文件的澄清、修改书及有关补充通知为比选文件的有效组成部分。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977" w:type="dxa"/>
            <w:tcBorders>
              <w:top w:val="single" w:color="auto" w:sz="8" w:space="0"/>
              <w:left w:val="double" w:color="auto" w:sz="4" w:space="0"/>
              <w:bottom w:val="single" w:color="auto" w:sz="8" w:space="0"/>
              <w:right w:val="single" w:color="auto" w:sz="8" w:space="0"/>
            </w:tcBorders>
            <w:vAlign w:val="center"/>
          </w:tcPr>
          <w:p>
            <w:pPr>
              <w:pStyle w:val="326"/>
              <w:spacing w:line="360" w:lineRule="exact"/>
              <w:ind w:right="230"/>
              <w:jc w:val="center"/>
              <w:rPr>
                <w:rFonts w:cs="Courier New"/>
                <w:color w:val="auto"/>
                <w:lang w:val="zh-CN"/>
              </w:rPr>
            </w:pPr>
            <w:r>
              <w:rPr>
                <w:rFonts w:cs="Courier New"/>
                <w:color w:val="auto"/>
                <w:lang w:val="zh-CN"/>
              </w:rPr>
              <w:t>8</w:t>
            </w:r>
          </w:p>
        </w:tc>
        <w:tc>
          <w:tcPr>
            <w:tcW w:w="2408" w:type="dxa"/>
            <w:tcBorders>
              <w:top w:val="single" w:color="auto" w:sz="8" w:space="0"/>
              <w:left w:val="single" w:color="auto" w:sz="8" w:space="0"/>
              <w:bottom w:val="single" w:color="auto" w:sz="8" w:space="0"/>
              <w:right w:val="single" w:color="auto" w:sz="8" w:space="0"/>
            </w:tcBorders>
            <w:vAlign w:val="center"/>
          </w:tcPr>
          <w:p>
            <w:pPr>
              <w:pStyle w:val="326"/>
              <w:spacing w:line="360" w:lineRule="exact"/>
              <w:ind w:left="33"/>
              <w:jc w:val="center"/>
              <w:rPr>
                <w:color w:val="auto"/>
                <w:lang w:val="zh-CN"/>
              </w:rPr>
            </w:pPr>
            <w:r>
              <w:rPr>
                <w:rFonts w:hint="eastAsia"/>
                <w:color w:val="auto"/>
                <w:lang w:val="zh-CN"/>
              </w:rPr>
              <w:t>比选保证金</w:t>
            </w:r>
          </w:p>
        </w:tc>
        <w:tc>
          <w:tcPr>
            <w:tcW w:w="6742" w:type="dxa"/>
            <w:tcBorders>
              <w:top w:val="single" w:color="auto" w:sz="8" w:space="0"/>
              <w:left w:val="single" w:color="auto" w:sz="8" w:space="0"/>
              <w:bottom w:val="single" w:color="auto" w:sz="8" w:space="0"/>
              <w:right w:val="double" w:color="auto" w:sz="4" w:space="0"/>
            </w:tcBorders>
            <w:vAlign w:val="center"/>
          </w:tcPr>
          <w:p>
            <w:pPr>
              <w:spacing w:line="360" w:lineRule="exact"/>
              <w:ind w:left="0" w:leftChars="0" w:firstLine="0" w:firstLineChars="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本项目</w:t>
            </w:r>
            <w:r>
              <w:rPr>
                <w:rFonts w:hint="eastAsia" w:ascii="宋体" w:hAnsi="宋体" w:eastAsia="宋体" w:cs="宋体"/>
                <w:color w:val="auto"/>
                <w:kern w:val="0"/>
                <w:sz w:val="24"/>
                <w:szCs w:val="24"/>
                <w:lang w:val="en-US" w:eastAsia="zh-CN" w:bidi="ar-SA"/>
              </w:rPr>
              <w:t>不</w:t>
            </w:r>
            <w:r>
              <w:rPr>
                <w:rFonts w:hint="eastAsia" w:ascii="宋体" w:hAnsi="宋体" w:eastAsia="宋体" w:cs="宋体"/>
                <w:color w:val="auto"/>
                <w:kern w:val="0"/>
                <w:sz w:val="24"/>
                <w:szCs w:val="24"/>
                <w:lang w:val="zh-CN" w:eastAsia="zh-CN" w:bidi="ar-SA"/>
              </w:rPr>
              <w:t>收取比选保证金。</w:t>
            </w:r>
          </w:p>
        </w:tc>
      </w:tr>
    </w:tbl>
    <w:p>
      <w:pPr>
        <w:ind w:firstLine="480"/>
        <w:rPr>
          <w:color w:val="auto"/>
        </w:rPr>
      </w:pPr>
      <w:r>
        <w:rPr>
          <w:color w:val="auto"/>
        </w:rPr>
        <w:br w:type="page"/>
      </w:r>
    </w:p>
    <w:p>
      <w:pPr>
        <w:pStyle w:val="4"/>
        <w:jc w:val="both"/>
        <w:rPr>
          <w:color w:val="auto"/>
        </w:rPr>
      </w:pPr>
      <w:bookmarkStart w:id="31" w:name="_Toc513634998"/>
      <w:bookmarkStart w:id="32" w:name="_Toc10121"/>
      <w:bookmarkStart w:id="33" w:name="_Toc513216348"/>
      <w:r>
        <w:rPr>
          <w:rFonts w:hint="eastAsia"/>
          <w:color w:val="auto"/>
        </w:rPr>
        <w:t>二、总</w:t>
      </w:r>
      <w:r>
        <w:rPr>
          <w:color w:val="auto"/>
        </w:rPr>
        <w:t xml:space="preserve">  </w:t>
      </w:r>
      <w:r>
        <w:rPr>
          <w:rFonts w:hint="eastAsia"/>
          <w:color w:val="auto"/>
        </w:rPr>
        <w:t>则</w:t>
      </w:r>
      <w:bookmarkEnd w:id="31"/>
      <w:bookmarkEnd w:id="32"/>
      <w:bookmarkEnd w:id="33"/>
    </w:p>
    <w:p>
      <w:pPr>
        <w:pStyle w:val="5"/>
        <w:rPr>
          <w:color w:val="auto"/>
        </w:rPr>
      </w:pPr>
      <w:bookmarkStart w:id="34" w:name="_Toc183682342"/>
      <w:bookmarkStart w:id="35" w:name="_Toc183582205"/>
      <w:bookmarkStart w:id="36" w:name="_Toc420499341"/>
      <w:bookmarkStart w:id="37" w:name="_Toc467155980"/>
      <w:bookmarkStart w:id="38" w:name="_Toc405561322"/>
      <w:bookmarkStart w:id="39" w:name="_Toc217446034"/>
      <w:bookmarkStart w:id="40" w:name="_Toc396828116"/>
      <w:bookmarkStart w:id="41" w:name="_Toc421284532"/>
      <w:bookmarkStart w:id="42" w:name="_Toc420494691"/>
      <w:bookmarkStart w:id="43" w:name="_Toc404679668"/>
      <w:bookmarkStart w:id="44" w:name="_Toc421195875"/>
      <w:bookmarkStart w:id="45" w:name="_Toc429917375"/>
      <w:bookmarkStart w:id="46" w:name="_Toc361753936"/>
      <w:bookmarkStart w:id="47" w:name="_Toc22729"/>
      <w:bookmarkStart w:id="48" w:name="_Toc384308466"/>
      <w:bookmarkStart w:id="49" w:name="_Toc467156070"/>
      <w:bookmarkStart w:id="50" w:name="_Toc426387898"/>
      <w:bookmarkStart w:id="51" w:name="_Toc513634999"/>
      <w:bookmarkStart w:id="52" w:name="_Toc429918045"/>
      <w:bookmarkStart w:id="53" w:name="_Toc17894"/>
      <w:bookmarkStart w:id="54" w:name="_Toc369265496"/>
      <w:bookmarkStart w:id="55" w:name="_Toc423338596"/>
      <w:bookmarkStart w:id="56" w:name="_Toc361754248"/>
      <w:bookmarkStart w:id="57" w:name="_Toc513216349"/>
      <w:r>
        <w:rPr>
          <w:color w:val="auto"/>
        </w:rPr>
        <w:t>1.</w:t>
      </w:r>
      <w:bookmarkEnd w:id="34"/>
      <w:bookmarkEnd w:id="35"/>
      <w:r>
        <w:rPr>
          <w:rFonts w:hint="eastAsia"/>
          <w:color w:val="auto"/>
        </w:rPr>
        <w:t>适用范围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ind w:firstLine="480"/>
        <w:rPr>
          <w:color w:val="auto"/>
        </w:rPr>
      </w:pPr>
      <w:r>
        <w:rPr>
          <w:color w:val="auto"/>
        </w:rPr>
        <w:t xml:space="preserve">1.1 </w:t>
      </w:r>
      <w:r>
        <w:rPr>
          <w:rFonts w:hint="eastAsia"/>
          <w:color w:val="auto"/>
        </w:rPr>
        <w:t>本</w:t>
      </w:r>
      <w:r>
        <w:rPr>
          <w:rFonts w:hint="eastAsia"/>
          <w:color w:val="auto"/>
          <w:lang w:val="zh-CN"/>
        </w:rPr>
        <w:t>比选</w:t>
      </w:r>
      <w:r>
        <w:rPr>
          <w:rFonts w:hint="eastAsia"/>
          <w:color w:val="auto"/>
        </w:rPr>
        <w:t>文件仅适用于本次比选采购项目。</w:t>
      </w:r>
    </w:p>
    <w:p>
      <w:pPr>
        <w:pStyle w:val="5"/>
        <w:rPr>
          <w:color w:val="auto"/>
        </w:rPr>
      </w:pPr>
      <w:bookmarkStart w:id="58" w:name="_Toc183582206"/>
      <w:bookmarkStart w:id="59" w:name="_Toc183682343"/>
      <w:bookmarkStart w:id="60" w:name="_Toc404679669"/>
      <w:bookmarkStart w:id="61" w:name="_Toc426387899"/>
      <w:bookmarkStart w:id="62" w:name="_Toc18914"/>
      <w:bookmarkStart w:id="63" w:name="_Toc429918046"/>
      <w:bookmarkStart w:id="64" w:name="_Toc396828117"/>
      <w:bookmarkStart w:id="65" w:name="_Toc369265497"/>
      <w:bookmarkStart w:id="66" w:name="_Toc421284533"/>
      <w:bookmarkStart w:id="67" w:name="_Toc467156071"/>
      <w:bookmarkStart w:id="68" w:name="_Toc12938"/>
      <w:bookmarkStart w:id="69" w:name="_Toc421195876"/>
      <w:bookmarkStart w:id="70" w:name="_Toc423338597"/>
      <w:bookmarkStart w:id="71" w:name="_Toc361754249"/>
      <w:bookmarkStart w:id="72" w:name="_Toc217446035"/>
      <w:bookmarkStart w:id="73" w:name="_Toc420499342"/>
      <w:bookmarkStart w:id="74" w:name="_Toc420494692"/>
      <w:bookmarkStart w:id="75" w:name="_Toc384308467"/>
      <w:bookmarkStart w:id="76" w:name="_Toc513216350"/>
      <w:bookmarkStart w:id="77" w:name="_Toc513635000"/>
      <w:bookmarkStart w:id="78" w:name="_Toc467155981"/>
      <w:bookmarkStart w:id="79" w:name="_Toc405561323"/>
      <w:bookmarkStart w:id="80" w:name="_Toc361753937"/>
      <w:bookmarkStart w:id="81" w:name="_Toc429917376"/>
      <w:r>
        <w:rPr>
          <w:color w:val="auto"/>
        </w:rPr>
        <w:t>2.</w:t>
      </w:r>
      <w:bookmarkEnd w:id="58"/>
      <w:bookmarkEnd w:id="59"/>
      <w:r>
        <w:rPr>
          <w:rFonts w:hint="eastAsia"/>
          <w:color w:val="auto"/>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ind w:firstLine="480"/>
        <w:rPr>
          <w:color w:val="auto"/>
        </w:rPr>
      </w:pPr>
      <w:r>
        <w:rPr>
          <w:color w:val="auto"/>
        </w:rPr>
        <w:t xml:space="preserve">2.1 </w:t>
      </w:r>
      <w:r>
        <w:rPr>
          <w:rFonts w:hint="eastAsia"/>
          <w:color w:val="auto"/>
        </w:rPr>
        <w:t>“采购人”系指依法进行采购的</w:t>
      </w:r>
      <w:r>
        <w:rPr>
          <w:rFonts w:hint="eastAsia"/>
          <w:color w:val="auto"/>
          <w:u w:val="single"/>
        </w:rPr>
        <w:t>成都开放大学</w:t>
      </w:r>
      <w:r>
        <w:rPr>
          <w:rFonts w:hint="eastAsia"/>
          <w:color w:val="auto"/>
        </w:rPr>
        <w:t>。</w:t>
      </w:r>
    </w:p>
    <w:p>
      <w:pPr>
        <w:ind w:firstLine="480"/>
        <w:rPr>
          <w:color w:val="auto"/>
        </w:rPr>
      </w:pPr>
      <w:r>
        <w:rPr>
          <w:color w:val="auto"/>
        </w:rPr>
        <w:t xml:space="preserve">2.2 </w:t>
      </w:r>
      <w:r>
        <w:rPr>
          <w:rFonts w:hint="eastAsia"/>
          <w:color w:val="auto"/>
        </w:rPr>
        <w:t>“采购单位”系指“采购人”的统称。</w:t>
      </w:r>
    </w:p>
    <w:p>
      <w:pPr>
        <w:ind w:firstLine="480"/>
        <w:rPr>
          <w:color w:val="auto"/>
        </w:rPr>
      </w:pPr>
      <w:r>
        <w:rPr>
          <w:color w:val="auto"/>
        </w:rPr>
        <w:t>2.3</w:t>
      </w:r>
      <w:r>
        <w:rPr>
          <w:rFonts w:hint="eastAsia"/>
          <w:color w:val="auto"/>
        </w:rPr>
        <w:t>“响应人”系指购买了比选文件拟参加比选和向采购人提供货物及相应服务的响应人。</w:t>
      </w:r>
    </w:p>
    <w:p>
      <w:pPr>
        <w:pStyle w:val="5"/>
        <w:rPr>
          <w:color w:val="auto"/>
        </w:rPr>
      </w:pPr>
      <w:bookmarkStart w:id="82" w:name="_Toc420499343"/>
      <w:bookmarkStart w:id="83" w:name="_Toc467155982"/>
      <w:bookmarkStart w:id="84" w:name="_Toc217390843"/>
      <w:bookmarkStart w:id="85" w:name="_Toc32069"/>
      <w:bookmarkStart w:id="86" w:name="_Toc369265498"/>
      <w:bookmarkStart w:id="87" w:name="_Toc429918047"/>
      <w:bookmarkStart w:id="88" w:name="_Toc361754250"/>
      <w:bookmarkStart w:id="89" w:name="_Toc467156072"/>
      <w:bookmarkStart w:id="90" w:name="_Toc421195877"/>
      <w:bookmarkStart w:id="91" w:name="_Toc24657"/>
      <w:bookmarkStart w:id="92" w:name="_Toc183582207"/>
      <w:bookmarkStart w:id="93" w:name="_Toc405561324"/>
      <w:bookmarkStart w:id="94" w:name="_Toc384308468"/>
      <w:bookmarkStart w:id="95" w:name="_Toc513635001"/>
      <w:bookmarkStart w:id="96" w:name="_Toc421284534"/>
      <w:bookmarkStart w:id="97" w:name="_Toc183682344"/>
      <w:bookmarkStart w:id="98" w:name="_Toc361753938"/>
      <w:bookmarkStart w:id="99" w:name="_Toc420494693"/>
      <w:bookmarkStart w:id="100" w:name="_Toc513216351"/>
      <w:bookmarkStart w:id="101" w:name="_Toc396828118"/>
      <w:bookmarkStart w:id="102" w:name="_Toc426387900"/>
      <w:bookmarkStart w:id="103" w:name="_Toc217446036"/>
      <w:bookmarkStart w:id="104" w:name="_Toc404679670"/>
      <w:bookmarkStart w:id="105" w:name="_Toc429917377"/>
      <w:bookmarkStart w:id="106" w:name="_Toc423338598"/>
      <w:r>
        <w:rPr>
          <w:color w:val="auto"/>
        </w:rPr>
        <w:t>3.</w:t>
      </w:r>
      <w:r>
        <w:rPr>
          <w:rFonts w:hint="eastAsia"/>
          <w:color w:val="auto"/>
        </w:rPr>
        <w:t>合格的响应人</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ind w:firstLine="480"/>
        <w:rPr>
          <w:color w:val="auto"/>
        </w:rPr>
      </w:pPr>
      <w:r>
        <w:rPr>
          <w:rFonts w:hint="eastAsia"/>
          <w:color w:val="auto"/>
        </w:rPr>
        <w:t>合格的响应人应具备以下条件：</w:t>
      </w:r>
    </w:p>
    <w:p>
      <w:pPr>
        <w:ind w:firstLine="480"/>
        <w:rPr>
          <w:color w:val="auto"/>
          <w:spacing w:val="-4"/>
        </w:rPr>
      </w:pPr>
      <w:bookmarkStart w:id="107" w:name="_Toc420499344"/>
      <w:bookmarkStart w:id="108" w:name="_Toc3342"/>
      <w:bookmarkStart w:id="109" w:name="_Toc429918048"/>
      <w:bookmarkStart w:id="110" w:name="_Toc513216352"/>
      <w:bookmarkStart w:id="111" w:name="_Toc423338599"/>
      <w:bookmarkStart w:id="112" w:name="_Toc6477"/>
      <w:bookmarkStart w:id="113" w:name="_Toc421284535"/>
      <w:bookmarkStart w:id="114" w:name="_Toc467156073"/>
      <w:bookmarkStart w:id="115" w:name="_Toc396828119"/>
      <w:bookmarkStart w:id="116" w:name="_Toc361754251"/>
      <w:bookmarkStart w:id="117" w:name="_Toc421195878"/>
      <w:bookmarkStart w:id="118" w:name="_Toc217446037"/>
      <w:bookmarkStart w:id="119" w:name="_Toc369265499"/>
      <w:bookmarkStart w:id="120" w:name="_Toc384308469"/>
      <w:bookmarkStart w:id="121" w:name="_Toc405561325"/>
      <w:bookmarkStart w:id="122" w:name="_Toc467155983"/>
      <w:bookmarkStart w:id="123" w:name="_Toc426387901"/>
      <w:bookmarkStart w:id="124" w:name="_Toc429917378"/>
      <w:bookmarkStart w:id="125" w:name="_Toc513635002"/>
      <w:bookmarkStart w:id="126" w:name="_Toc183582208"/>
      <w:bookmarkStart w:id="127" w:name="_Toc361753939"/>
      <w:bookmarkStart w:id="128" w:name="_Toc183682345"/>
      <w:bookmarkStart w:id="129" w:name="_Toc404679671"/>
      <w:bookmarkStart w:id="130" w:name="_Toc420494694"/>
      <w:r>
        <w:rPr>
          <w:color w:val="auto"/>
        </w:rPr>
        <w:t>(1)</w:t>
      </w:r>
      <w:r>
        <w:rPr>
          <w:rFonts w:hint="eastAsia"/>
          <w:color w:val="auto"/>
        </w:rPr>
        <w:t>本比选文件“比选邀请”第五条规定的条件</w:t>
      </w:r>
      <w:r>
        <w:rPr>
          <w:rFonts w:hint="eastAsia"/>
          <w:color w:val="auto"/>
          <w:spacing w:val="-4"/>
        </w:rPr>
        <w:t>；</w:t>
      </w:r>
    </w:p>
    <w:p>
      <w:pPr>
        <w:ind w:firstLine="480"/>
        <w:rPr>
          <w:color w:val="auto"/>
        </w:rPr>
      </w:pPr>
      <w:r>
        <w:rPr>
          <w:color w:val="auto"/>
        </w:rPr>
        <w:t>(2)</w:t>
      </w:r>
      <w:r>
        <w:rPr>
          <w:rFonts w:hint="eastAsia"/>
          <w:color w:val="auto"/>
        </w:rPr>
        <w:t>向采购人购买了比选文件并登记备案。</w:t>
      </w:r>
    </w:p>
    <w:p>
      <w:pPr>
        <w:pStyle w:val="5"/>
        <w:rPr>
          <w:color w:val="auto"/>
        </w:rPr>
      </w:pPr>
      <w:r>
        <w:rPr>
          <w:color w:val="auto"/>
        </w:rPr>
        <w:t>4.</w:t>
      </w:r>
      <w:r>
        <w:rPr>
          <w:rFonts w:hint="eastAsia"/>
          <w:color w:val="auto"/>
        </w:rPr>
        <w:t>比选费用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480"/>
        <w:rPr>
          <w:color w:val="auto"/>
        </w:rPr>
      </w:pPr>
      <w:r>
        <w:rPr>
          <w:color w:val="auto"/>
        </w:rPr>
        <w:t xml:space="preserve">4.1 </w:t>
      </w:r>
      <w:r>
        <w:rPr>
          <w:rFonts w:hint="eastAsia"/>
          <w:color w:val="auto"/>
        </w:rPr>
        <w:t>响应人应自行承担所有与准备和参加比选有关的费用。不论比选结果如何，采购单位对上述费用不负任何责任。</w:t>
      </w:r>
    </w:p>
    <w:p>
      <w:pPr>
        <w:pStyle w:val="5"/>
        <w:rPr>
          <w:color w:val="auto"/>
        </w:rPr>
      </w:pPr>
      <w:bookmarkStart w:id="131" w:name="_Toc404679672"/>
      <w:bookmarkStart w:id="132" w:name="_Toc421284536"/>
      <w:bookmarkStart w:id="133" w:name="_Toc384308470"/>
      <w:bookmarkStart w:id="134" w:name="_Toc396828120"/>
      <w:bookmarkStart w:id="135" w:name="_Toc513216353"/>
      <w:bookmarkStart w:id="136" w:name="_Toc423338600"/>
      <w:bookmarkStart w:id="137" w:name="_Toc426387902"/>
      <w:bookmarkStart w:id="138" w:name="_Toc405561326"/>
      <w:bookmarkStart w:id="139" w:name="_Toc26104"/>
      <w:bookmarkStart w:id="140" w:name="_Toc513635003"/>
      <w:bookmarkStart w:id="141" w:name="_Toc429917379"/>
      <w:bookmarkStart w:id="142" w:name="_Toc429918049"/>
      <w:bookmarkStart w:id="143" w:name="_Toc361753940"/>
      <w:bookmarkStart w:id="144" w:name="_Toc421195879"/>
      <w:bookmarkStart w:id="145" w:name="_Toc467156074"/>
      <w:bookmarkStart w:id="146" w:name="_Toc3885"/>
      <w:bookmarkStart w:id="147" w:name="_Toc361754252"/>
      <w:bookmarkStart w:id="148" w:name="_Toc420499345"/>
      <w:bookmarkStart w:id="149" w:name="_Toc369265500"/>
      <w:bookmarkStart w:id="150" w:name="_Toc467155984"/>
      <w:bookmarkStart w:id="151" w:name="_Toc420494695"/>
      <w:r>
        <w:rPr>
          <w:color w:val="auto"/>
        </w:rPr>
        <w:t>5.</w:t>
      </w:r>
      <w:r>
        <w:rPr>
          <w:rFonts w:hint="eastAsia"/>
          <w:color w:val="auto"/>
        </w:rPr>
        <w:t>充分、公平竞争保障措施</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ind w:firstLine="480"/>
        <w:rPr>
          <w:color w:val="auto"/>
        </w:rPr>
      </w:pPr>
      <w:r>
        <w:rPr>
          <w:rFonts w:hint="eastAsia"/>
          <w:color w:val="auto"/>
        </w:rPr>
        <w:t>总公司、分公司不能以不同的响应人身份同时参加比选。</w:t>
      </w:r>
    </w:p>
    <w:p>
      <w:pPr>
        <w:pStyle w:val="4"/>
        <w:rPr>
          <w:color w:val="auto"/>
        </w:rPr>
      </w:pPr>
      <w:bookmarkStart w:id="152" w:name="_Toc513216354"/>
      <w:bookmarkStart w:id="153" w:name="_Toc217446038"/>
      <w:bookmarkStart w:id="154" w:name="_Toc77400779"/>
      <w:bookmarkStart w:id="155" w:name="_Toc30764"/>
      <w:bookmarkStart w:id="156" w:name="_Toc513635004"/>
      <w:bookmarkStart w:id="157" w:name="_Toc183582209"/>
      <w:bookmarkStart w:id="158" w:name="_Toc89075875"/>
      <w:bookmarkStart w:id="159" w:name="_Toc183682346"/>
      <w:r>
        <w:rPr>
          <w:rFonts w:hint="eastAsia"/>
          <w:color w:val="auto"/>
        </w:rPr>
        <w:t>三、比选文件</w:t>
      </w:r>
      <w:bookmarkEnd w:id="152"/>
      <w:bookmarkEnd w:id="153"/>
      <w:bookmarkEnd w:id="154"/>
      <w:bookmarkEnd w:id="155"/>
      <w:bookmarkEnd w:id="156"/>
      <w:bookmarkEnd w:id="157"/>
      <w:bookmarkEnd w:id="158"/>
      <w:bookmarkEnd w:id="159"/>
    </w:p>
    <w:p>
      <w:pPr>
        <w:pStyle w:val="5"/>
        <w:rPr>
          <w:color w:val="auto"/>
        </w:rPr>
      </w:pPr>
      <w:bookmarkStart w:id="160" w:name="_Toc467156076"/>
      <w:bookmarkStart w:id="161" w:name="_Toc217446039"/>
      <w:bookmarkStart w:id="162" w:name="_Toc423338602"/>
      <w:bookmarkStart w:id="163" w:name="_Toc429917381"/>
      <w:bookmarkStart w:id="164" w:name="_Toc420499347"/>
      <w:bookmarkStart w:id="165" w:name="_Toc396828122"/>
      <w:bookmarkStart w:id="166" w:name="_Toc369265502"/>
      <w:bookmarkStart w:id="167" w:name="_Toc420494697"/>
      <w:bookmarkStart w:id="168" w:name="_Toc404679674"/>
      <w:bookmarkStart w:id="169" w:name="_Toc183582210"/>
      <w:bookmarkStart w:id="170" w:name="_Toc1864"/>
      <w:bookmarkStart w:id="171" w:name="_Toc384308472"/>
      <w:bookmarkStart w:id="172" w:name="_Toc421195881"/>
      <w:bookmarkStart w:id="173" w:name="_Toc421284538"/>
      <w:bookmarkStart w:id="174" w:name="_Toc426387904"/>
      <w:bookmarkStart w:id="175" w:name="_Toc361754254"/>
      <w:bookmarkStart w:id="176" w:name="_Toc183682347"/>
      <w:bookmarkStart w:id="177" w:name="_Toc513216355"/>
      <w:bookmarkStart w:id="178" w:name="_Toc31773"/>
      <w:bookmarkStart w:id="179" w:name="_Toc513635005"/>
      <w:bookmarkStart w:id="180" w:name="_Toc467155986"/>
      <w:bookmarkStart w:id="181" w:name="_Toc429918051"/>
      <w:bookmarkStart w:id="182" w:name="_Toc405561328"/>
      <w:bookmarkStart w:id="183" w:name="_Toc361753942"/>
      <w:r>
        <w:rPr>
          <w:color w:val="auto"/>
        </w:rPr>
        <w:t>6</w:t>
      </w:r>
      <w:r>
        <w:rPr>
          <w:rFonts w:hint="eastAsia"/>
          <w:color w:val="auto"/>
        </w:rPr>
        <w:t>.比选文件的构成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ind w:firstLine="480"/>
        <w:rPr>
          <w:color w:val="auto"/>
        </w:rPr>
      </w:pPr>
      <w:r>
        <w:rPr>
          <w:color w:val="auto"/>
        </w:rPr>
        <w:t>6</w:t>
      </w:r>
      <w:r>
        <w:rPr>
          <w:b/>
          <w:bCs/>
          <w:color w:val="auto"/>
        </w:rPr>
        <w:t>.</w:t>
      </w:r>
      <w:r>
        <w:rPr>
          <w:color w:val="auto"/>
        </w:rPr>
        <w:t xml:space="preserve">1 </w:t>
      </w:r>
      <w:r>
        <w:rPr>
          <w:rFonts w:hint="eastAsia"/>
          <w:color w:val="auto"/>
        </w:rPr>
        <w:t>比选文件是响应人准备响应文件和参加比选的依据，同时也是评标的重要依据，具有准法律文件性质。比选文件用以阐明采购项目所需的资质、技术、服务及报价等要求、采购比选程序、有关规定和注意事项以及合同主要条款等。本比选文件包括以下内容：</w:t>
      </w:r>
    </w:p>
    <w:p>
      <w:pPr>
        <w:ind w:firstLine="480"/>
        <w:rPr>
          <w:color w:val="auto"/>
        </w:rPr>
      </w:pPr>
      <w:r>
        <w:rPr>
          <w:rFonts w:hint="eastAsia"/>
          <w:color w:val="auto"/>
        </w:rPr>
        <w:t>第一章</w:t>
      </w:r>
      <w:r>
        <w:rPr>
          <w:color w:val="auto"/>
        </w:rPr>
        <w:t xml:space="preserve"> </w:t>
      </w:r>
      <w:r>
        <w:rPr>
          <w:rFonts w:hint="eastAsia"/>
          <w:color w:val="auto"/>
        </w:rPr>
        <w:t>比选邀请</w:t>
      </w:r>
    </w:p>
    <w:p>
      <w:pPr>
        <w:ind w:firstLine="480"/>
        <w:rPr>
          <w:color w:val="auto"/>
        </w:rPr>
      </w:pPr>
      <w:r>
        <w:rPr>
          <w:rFonts w:hint="eastAsia"/>
          <w:color w:val="auto"/>
        </w:rPr>
        <w:t>第二章</w:t>
      </w:r>
      <w:r>
        <w:rPr>
          <w:color w:val="auto"/>
        </w:rPr>
        <w:t xml:space="preserve"> </w:t>
      </w:r>
      <w:r>
        <w:rPr>
          <w:rFonts w:hint="eastAsia"/>
          <w:color w:val="auto"/>
        </w:rPr>
        <w:t>响应人须知</w:t>
      </w:r>
    </w:p>
    <w:p>
      <w:pPr>
        <w:ind w:firstLine="480"/>
        <w:rPr>
          <w:color w:val="auto"/>
        </w:rPr>
      </w:pPr>
      <w:r>
        <w:rPr>
          <w:rFonts w:hint="eastAsia"/>
          <w:color w:val="auto"/>
        </w:rPr>
        <w:t>第三章</w:t>
      </w:r>
      <w:r>
        <w:rPr>
          <w:color w:val="auto"/>
        </w:rPr>
        <w:t xml:space="preserve"> </w:t>
      </w:r>
      <w:r>
        <w:rPr>
          <w:rFonts w:hint="eastAsia"/>
          <w:color w:val="auto"/>
        </w:rPr>
        <w:t>响应文件格式</w:t>
      </w:r>
    </w:p>
    <w:p>
      <w:pPr>
        <w:ind w:firstLine="480"/>
        <w:rPr>
          <w:color w:val="auto"/>
        </w:rPr>
      </w:pPr>
      <w:r>
        <w:rPr>
          <w:rFonts w:hint="eastAsia"/>
          <w:color w:val="auto"/>
        </w:rPr>
        <w:t>第四章</w:t>
      </w:r>
      <w:r>
        <w:rPr>
          <w:color w:val="auto"/>
        </w:rPr>
        <w:t xml:space="preserve"> </w:t>
      </w:r>
      <w:r>
        <w:rPr>
          <w:rFonts w:hint="eastAsia"/>
          <w:color w:val="auto"/>
        </w:rPr>
        <w:t>采购项目技术、商务及其他要求</w:t>
      </w:r>
    </w:p>
    <w:p>
      <w:pPr>
        <w:ind w:firstLine="480"/>
        <w:rPr>
          <w:color w:val="auto"/>
        </w:rPr>
      </w:pPr>
      <w:r>
        <w:rPr>
          <w:rFonts w:hint="eastAsia"/>
          <w:color w:val="auto"/>
        </w:rPr>
        <w:t>第五章</w:t>
      </w:r>
      <w:r>
        <w:rPr>
          <w:color w:val="auto"/>
        </w:rPr>
        <w:t xml:space="preserve"> </w:t>
      </w:r>
      <w:r>
        <w:rPr>
          <w:rFonts w:hint="eastAsia"/>
          <w:color w:val="auto"/>
        </w:rPr>
        <w:t>评标办法</w:t>
      </w:r>
    </w:p>
    <w:p>
      <w:pPr>
        <w:ind w:firstLine="480"/>
        <w:rPr>
          <w:color w:val="auto"/>
        </w:rPr>
      </w:pPr>
      <w:r>
        <w:rPr>
          <w:rFonts w:hint="eastAsia"/>
          <w:color w:val="auto"/>
        </w:rPr>
        <w:t>第六章</w:t>
      </w:r>
      <w:r>
        <w:rPr>
          <w:color w:val="auto"/>
        </w:rPr>
        <w:t xml:space="preserve"> </w:t>
      </w:r>
      <w:r>
        <w:rPr>
          <w:rFonts w:hint="eastAsia"/>
          <w:color w:val="auto"/>
        </w:rPr>
        <w:t>合同主要条款</w:t>
      </w:r>
    </w:p>
    <w:p>
      <w:pPr>
        <w:ind w:firstLine="480"/>
        <w:rPr>
          <w:color w:val="auto"/>
        </w:rPr>
      </w:pPr>
      <w:r>
        <w:rPr>
          <w:color w:val="auto"/>
        </w:rPr>
        <w:t>6</w:t>
      </w:r>
      <w:r>
        <w:rPr>
          <w:b/>
          <w:bCs/>
          <w:color w:val="auto"/>
        </w:rPr>
        <w:t>.</w:t>
      </w:r>
      <w:r>
        <w:rPr>
          <w:color w:val="auto"/>
        </w:rPr>
        <w:t xml:space="preserve">2 </w:t>
      </w:r>
      <w:r>
        <w:rPr>
          <w:rFonts w:hint="eastAsia"/>
          <w:color w:val="auto"/>
        </w:rPr>
        <w:t>响应人应认真阅读和充分理解比选文件中所有的事项、格式条款和规范要求。响应人没有对比选文件全面做出实质性响应是响应人的风险。没有按照比选文件要求作出实质性响应的响应文件将作无效响应人处理。</w:t>
      </w:r>
    </w:p>
    <w:p>
      <w:pPr>
        <w:pStyle w:val="5"/>
        <w:rPr>
          <w:color w:val="auto"/>
        </w:rPr>
      </w:pPr>
      <w:bookmarkStart w:id="184" w:name="_Toc183682348"/>
      <w:bookmarkStart w:id="185" w:name="_Toc183582211"/>
      <w:bookmarkStart w:id="186" w:name="_Toc467155987"/>
      <w:bookmarkStart w:id="187" w:name="_Toc429917382"/>
      <w:bookmarkStart w:id="188" w:name="_Toc361753943"/>
      <w:bookmarkStart w:id="189" w:name="_Toc384308473"/>
      <w:bookmarkStart w:id="190" w:name="_Toc513635006"/>
      <w:bookmarkStart w:id="191" w:name="_Toc31886"/>
      <w:bookmarkStart w:id="192" w:name="_Toc421195882"/>
      <w:bookmarkStart w:id="193" w:name="_Toc11927"/>
      <w:bookmarkStart w:id="194" w:name="_Toc361754255"/>
      <w:bookmarkStart w:id="195" w:name="_Toc513216356"/>
      <w:bookmarkStart w:id="196" w:name="_Toc426387905"/>
      <w:bookmarkStart w:id="197" w:name="_Toc421284539"/>
      <w:bookmarkStart w:id="198" w:name="_Toc429918052"/>
      <w:bookmarkStart w:id="199" w:name="_Toc396828123"/>
      <w:bookmarkStart w:id="200" w:name="_Toc405561329"/>
      <w:bookmarkStart w:id="201" w:name="_Toc404679675"/>
      <w:bookmarkStart w:id="202" w:name="_Toc420494698"/>
      <w:bookmarkStart w:id="203" w:name="_Toc369265503"/>
      <w:bookmarkStart w:id="204" w:name="_Toc217446040"/>
      <w:bookmarkStart w:id="205" w:name="_Toc423338603"/>
      <w:bookmarkStart w:id="206" w:name="_Toc467156077"/>
      <w:bookmarkStart w:id="207" w:name="_Toc420499348"/>
      <w:r>
        <w:rPr>
          <w:color w:val="auto"/>
        </w:rPr>
        <w:t>7</w:t>
      </w:r>
      <w:r>
        <w:rPr>
          <w:rFonts w:hint="eastAsia"/>
          <w:color w:val="auto"/>
        </w:rPr>
        <w:t>.比选文件的澄清</w:t>
      </w:r>
      <w:bookmarkEnd w:id="184"/>
      <w:bookmarkEnd w:id="185"/>
      <w:r>
        <w:rPr>
          <w:rFonts w:hint="eastAsia"/>
          <w:color w:val="auto"/>
        </w:rPr>
        <w:t>和修改</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ind w:firstLine="480"/>
        <w:rPr>
          <w:color w:val="auto"/>
        </w:rPr>
      </w:pPr>
      <w:r>
        <w:rPr>
          <w:color w:val="auto"/>
        </w:rPr>
        <w:t>7.1</w:t>
      </w:r>
      <w:r>
        <w:rPr>
          <w:rFonts w:hint="eastAsia"/>
          <w:color w:val="auto"/>
        </w:rPr>
        <w:t>在比选截止时间前，采购单位无论出于何种原因，可以对比选文件进行澄清或者修改。</w:t>
      </w:r>
    </w:p>
    <w:p>
      <w:pPr>
        <w:ind w:firstLine="480"/>
        <w:rPr>
          <w:color w:val="auto"/>
        </w:rPr>
      </w:pPr>
      <w:r>
        <w:rPr>
          <w:color w:val="auto"/>
        </w:rPr>
        <w:t xml:space="preserve">7.2 </w:t>
      </w:r>
      <w:r>
        <w:rPr>
          <w:rFonts w:hint="eastAsia"/>
          <w:color w:val="auto"/>
        </w:rPr>
        <w:t>在比选截止时间前，采购单位可以视采购具体情况，延长比选截止时间和开标时间，将变更时间以书面形式通知所有购买了比选文件的响应人，同时在四川招投标网上发布变更公告。</w:t>
      </w:r>
    </w:p>
    <w:p>
      <w:pPr>
        <w:pStyle w:val="5"/>
        <w:rPr>
          <w:color w:val="auto"/>
        </w:rPr>
      </w:pPr>
      <w:bookmarkStart w:id="208" w:name="_Toc384308474"/>
      <w:bookmarkStart w:id="209" w:name="_Toc513635007"/>
      <w:bookmarkStart w:id="210" w:name="_Toc429918053"/>
      <w:bookmarkStart w:id="211" w:name="_Toc420494699"/>
      <w:bookmarkStart w:id="212" w:name="_Toc217446041"/>
      <w:bookmarkStart w:id="213" w:name="_Toc421284540"/>
      <w:bookmarkStart w:id="214" w:name="_Toc513216357"/>
      <w:bookmarkStart w:id="215" w:name="_Toc420499349"/>
      <w:bookmarkStart w:id="216" w:name="_Toc404679676"/>
      <w:bookmarkStart w:id="217" w:name="_Toc423338604"/>
      <w:bookmarkStart w:id="218" w:name="_Toc369265504"/>
      <w:bookmarkStart w:id="219" w:name="_Toc361754256"/>
      <w:bookmarkStart w:id="220" w:name="_Toc208848971"/>
      <w:bookmarkStart w:id="221" w:name="_Toc421195883"/>
      <w:bookmarkStart w:id="222" w:name="_Toc429917383"/>
      <w:bookmarkStart w:id="223" w:name="_Toc426387906"/>
      <w:bookmarkStart w:id="224" w:name="_Toc467155988"/>
      <w:bookmarkStart w:id="225" w:name="_Toc361753944"/>
      <w:bookmarkStart w:id="226" w:name="_Toc29246"/>
      <w:bookmarkStart w:id="227" w:name="_Toc21095"/>
      <w:bookmarkStart w:id="228" w:name="_Toc467156078"/>
      <w:bookmarkStart w:id="229" w:name="_Toc396828124"/>
      <w:bookmarkStart w:id="230" w:name="_Toc405561330"/>
      <w:r>
        <w:rPr>
          <w:color w:val="auto"/>
        </w:rPr>
        <w:t>8</w:t>
      </w:r>
      <w:r>
        <w:rPr>
          <w:rFonts w:hint="eastAsia"/>
          <w:color w:val="auto"/>
        </w:rPr>
        <w:t>.答疑会和现场考察</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ind w:firstLine="480"/>
        <w:rPr>
          <w:color w:val="auto"/>
        </w:rPr>
      </w:pPr>
      <w:r>
        <w:rPr>
          <w:color w:val="auto"/>
        </w:rPr>
        <w:t xml:space="preserve">8.1 </w:t>
      </w:r>
      <w:r>
        <w:rPr>
          <w:rFonts w:hint="eastAsia"/>
          <w:color w:val="auto"/>
        </w:rPr>
        <w:t>根据采购项目和具体情况，采购单位认为有必要，可以组织召开开标前答疑会或组织响应人对项目现场进行考察。答疑会或进行现场考察的时间，采购单位将以书面形式通知所有购买了比选文件的响应人。</w:t>
      </w:r>
    </w:p>
    <w:p>
      <w:pPr>
        <w:ind w:firstLine="480"/>
        <w:rPr>
          <w:color w:val="auto"/>
        </w:rPr>
      </w:pPr>
      <w:r>
        <w:rPr>
          <w:color w:val="auto"/>
        </w:rPr>
        <w:t xml:space="preserve">8.2 </w:t>
      </w:r>
      <w:r>
        <w:rPr>
          <w:rFonts w:hint="eastAsia"/>
          <w:color w:val="auto"/>
        </w:rPr>
        <w:t>响应人考察现场所发生的一切费用由响应人自己承担。</w:t>
      </w:r>
    </w:p>
    <w:p>
      <w:pPr>
        <w:pStyle w:val="4"/>
        <w:rPr>
          <w:color w:val="auto"/>
        </w:rPr>
      </w:pPr>
      <w:bookmarkStart w:id="231" w:name="_Toc183582214"/>
      <w:bookmarkStart w:id="232" w:name="_Toc89075876"/>
      <w:bookmarkStart w:id="233" w:name="_Toc183682351"/>
      <w:bookmarkStart w:id="234" w:name="_Toc24572"/>
      <w:bookmarkStart w:id="235" w:name="_Toc513216358"/>
      <w:bookmarkStart w:id="236" w:name="_Toc217446042"/>
      <w:bookmarkStart w:id="237" w:name="_Toc513635008"/>
      <w:bookmarkStart w:id="238" w:name="_Toc77400780"/>
      <w:r>
        <w:rPr>
          <w:rFonts w:hint="eastAsia"/>
          <w:color w:val="auto"/>
        </w:rPr>
        <w:t>四、响应文件</w:t>
      </w:r>
      <w:bookmarkEnd w:id="231"/>
      <w:bookmarkEnd w:id="232"/>
      <w:bookmarkEnd w:id="233"/>
      <w:bookmarkEnd w:id="234"/>
      <w:bookmarkEnd w:id="235"/>
      <w:bookmarkEnd w:id="236"/>
      <w:bookmarkEnd w:id="237"/>
      <w:bookmarkEnd w:id="238"/>
    </w:p>
    <w:p>
      <w:pPr>
        <w:pStyle w:val="5"/>
        <w:rPr>
          <w:color w:val="auto"/>
        </w:rPr>
      </w:pPr>
      <w:bookmarkStart w:id="239" w:name="_Toc384308476"/>
      <w:bookmarkStart w:id="240" w:name="_Toc423338606"/>
      <w:bookmarkStart w:id="241" w:name="_Toc404679678"/>
      <w:bookmarkStart w:id="242" w:name="_Toc361754258"/>
      <w:bookmarkStart w:id="243" w:name="_Toc369265506"/>
      <w:bookmarkStart w:id="244" w:name="_Toc421195885"/>
      <w:bookmarkStart w:id="245" w:name="_Toc183682352"/>
      <w:bookmarkStart w:id="246" w:name="_Toc420499351"/>
      <w:bookmarkStart w:id="247" w:name="_Toc396828126"/>
      <w:bookmarkStart w:id="248" w:name="_Toc467155990"/>
      <w:bookmarkStart w:id="249" w:name="_Toc420494701"/>
      <w:bookmarkStart w:id="250" w:name="_Toc426387908"/>
      <w:bookmarkStart w:id="251" w:name="_Toc183582215"/>
      <w:bookmarkStart w:id="252" w:name="_Toc467156080"/>
      <w:bookmarkStart w:id="253" w:name="_Toc361753946"/>
      <w:bookmarkStart w:id="254" w:name="_Toc513635009"/>
      <w:bookmarkStart w:id="255" w:name="_Toc429918055"/>
      <w:bookmarkStart w:id="256" w:name="_Toc10110"/>
      <w:bookmarkStart w:id="257" w:name="_Toc513216359"/>
      <w:bookmarkStart w:id="258" w:name="_Toc429917385"/>
      <w:bookmarkStart w:id="259" w:name="_Toc3715"/>
      <w:bookmarkStart w:id="260" w:name="_Toc421284542"/>
      <w:bookmarkStart w:id="261" w:name="_Toc405561332"/>
      <w:bookmarkStart w:id="262" w:name="_Toc217446043"/>
      <w:r>
        <w:rPr>
          <w:color w:val="auto"/>
        </w:rPr>
        <w:t>9</w:t>
      </w:r>
      <w:r>
        <w:rPr>
          <w:rFonts w:hint="eastAsia"/>
          <w:color w:val="auto"/>
        </w:rPr>
        <w:t>.响应文件的语言</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ind w:firstLine="480"/>
        <w:rPr>
          <w:color w:val="auto"/>
        </w:rPr>
      </w:pPr>
      <w:r>
        <w:rPr>
          <w:color w:val="auto"/>
        </w:rPr>
        <w:t xml:space="preserve">9.1 </w:t>
      </w:r>
      <w:r>
        <w:rPr>
          <w:rFonts w:hint="eastAsia"/>
          <w:color w:val="auto"/>
        </w:rPr>
        <w:t>响应人提交的响应文件以及响应人与采购单位就有关比选的所有来往书面文件均须使用中文。响应文件中如附有外文资料，应尽量翻译成中文并加盖响应人公章后附在相关外文资料后面。</w:t>
      </w:r>
    </w:p>
    <w:p>
      <w:pPr>
        <w:ind w:firstLine="480"/>
        <w:rPr>
          <w:color w:val="auto"/>
        </w:rPr>
      </w:pPr>
      <w:r>
        <w:rPr>
          <w:color w:val="auto"/>
        </w:rPr>
        <w:t xml:space="preserve">9.2 </w:t>
      </w:r>
      <w:r>
        <w:rPr>
          <w:rFonts w:hint="eastAsia"/>
          <w:color w:val="auto"/>
        </w:rPr>
        <w:t>翻译的中文资料与外文资料如果出现差异和矛盾时，以中文为准。</w:t>
      </w:r>
    </w:p>
    <w:p>
      <w:pPr>
        <w:pStyle w:val="5"/>
        <w:rPr>
          <w:color w:val="auto"/>
        </w:rPr>
      </w:pPr>
      <w:bookmarkStart w:id="263" w:name="_Toc384308477"/>
      <w:bookmarkStart w:id="264" w:name="_Toc421195886"/>
      <w:bookmarkStart w:id="265" w:name="_Toc369265507"/>
      <w:bookmarkStart w:id="266" w:name="_Toc396828127"/>
      <w:bookmarkStart w:id="267" w:name="_Toc183682353"/>
      <w:bookmarkStart w:id="268" w:name="_Toc15366"/>
      <w:bookmarkStart w:id="269" w:name="_Toc420499352"/>
      <w:bookmarkStart w:id="270" w:name="_Toc404679679"/>
      <w:bookmarkStart w:id="271" w:name="_Toc420494702"/>
      <w:bookmarkStart w:id="272" w:name="_Toc513216360"/>
      <w:bookmarkStart w:id="273" w:name="_Toc429918056"/>
      <w:bookmarkStart w:id="274" w:name="_Toc467155991"/>
      <w:bookmarkStart w:id="275" w:name="_Toc421284543"/>
      <w:bookmarkStart w:id="276" w:name="_Toc513635010"/>
      <w:bookmarkStart w:id="277" w:name="_Toc426387909"/>
      <w:bookmarkStart w:id="278" w:name="_Toc423338607"/>
      <w:bookmarkStart w:id="279" w:name="_Toc405561333"/>
      <w:bookmarkStart w:id="280" w:name="_Toc467156081"/>
      <w:bookmarkStart w:id="281" w:name="_Toc183582216"/>
      <w:bookmarkStart w:id="282" w:name="_Toc361754259"/>
      <w:bookmarkStart w:id="283" w:name="_Toc217446044"/>
      <w:bookmarkStart w:id="284" w:name="_Toc429917386"/>
      <w:bookmarkStart w:id="285" w:name="_Toc361753947"/>
      <w:bookmarkStart w:id="286" w:name="_Toc2153"/>
      <w:r>
        <w:rPr>
          <w:color w:val="auto"/>
        </w:rPr>
        <w:t>10</w:t>
      </w:r>
      <w:r>
        <w:rPr>
          <w:rFonts w:hint="eastAsia"/>
          <w:color w:val="auto"/>
        </w:rPr>
        <w:t>.计量单位</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ind w:firstLine="480"/>
        <w:rPr>
          <w:color w:val="auto"/>
        </w:rPr>
      </w:pPr>
      <w:r>
        <w:rPr>
          <w:rFonts w:hint="eastAsia"/>
          <w:color w:val="auto"/>
        </w:rPr>
        <w:t>除技术规格及要求中另有规定外，本采购项下的比选均采用国家法定的计量单位。</w:t>
      </w:r>
    </w:p>
    <w:p>
      <w:pPr>
        <w:pStyle w:val="5"/>
        <w:rPr>
          <w:color w:val="auto"/>
        </w:rPr>
      </w:pPr>
      <w:bookmarkStart w:id="287" w:name="_Toc423338608"/>
      <w:bookmarkStart w:id="288" w:name="_Toc513635011"/>
      <w:bookmarkStart w:id="289" w:name="_Toc396828128"/>
      <w:bookmarkStart w:id="290" w:name="_Toc421195887"/>
      <w:bookmarkStart w:id="291" w:name="_Toc513216361"/>
      <w:bookmarkStart w:id="292" w:name="_Toc405561334"/>
      <w:bookmarkStart w:id="293" w:name="_Toc17011"/>
      <w:bookmarkStart w:id="294" w:name="_Toc421284544"/>
      <w:bookmarkStart w:id="295" w:name="_Toc429918057"/>
      <w:bookmarkStart w:id="296" w:name="_Toc384308478"/>
      <w:bookmarkStart w:id="297" w:name="_Toc361753948"/>
      <w:bookmarkStart w:id="298" w:name="_Toc361754260"/>
      <w:bookmarkStart w:id="299" w:name="_Toc467155992"/>
      <w:bookmarkStart w:id="300" w:name="_Toc420499353"/>
      <w:bookmarkStart w:id="301" w:name="_Toc467156082"/>
      <w:bookmarkStart w:id="302" w:name="_Toc420494703"/>
      <w:bookmarkStart w:id="303" w:name="_Toc369265508"/>
      <w:bookmarkStart w:id="304" w:name="_Toc404679680"/>
      <w:bookmarkStart w:id="305" w:name="_Toc426387910"/>
      <w:bookmarkStart w:id="306" w:name="_Toc429917387"/>
      <w:bookmarkStart w:id="307" w:name="_Toc217446045"/>
      <w:bookmarkStart w:id="308" w:name="_Toc2930"/>
      <w:r>
        <w:rPr>
          <w:color w:val="auto"/>
        </w:rPr>
        <w:t>11.</w:t>
      </w:r>
      <w:r>
        <w:rPr>
          <w:rFonts w:hint="eastAsia"/>
          <w:color w:val="auto"/>
        </w:rPr>
        <w:t>比选货币</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ind w:firstLine="482"/>
        <w:rPr>
          <w:color w:val="auto"/>
        </w:rPr>
      </w:pPr>
      <w:r>
        <w:rPr>
          <w:rFonts w:hint="eastAsia"/>
          <w:color w:val="auto"/>
        </w:rPr>
        <w:t>本次采购项目的比选均以人民币报价。</w:t>
      </w:r>
    </w:p>
    <w:p>
      <w:pPr>
        <w:pStyle w:val="5"/>
        <w:rPr>
          <w:color w:val="auto"/>
        </w:rPr>
      </w:pPr>
      <w:bookmarkStart w:id="309" w:name="_Toc217446046"/>
      <w:bookmarkStart w:id="310" w:name="_Toc396828129"/>
      <w:bookmarkStart w:id="311" w:name="_Toc421284545"/>
      <w:bookmarkStart w:id="312" w:name="_Toc361754261"/>
      <w:bookmarkStart w:id="313" w:name="_Toc421195888"/>
      <w:bookmarkStart w:id="314" w:name="_Toc420494704"/>
      <w:bookmarkStart w:id="315" w:name="_Toc405561335"/>
      <w:bookmarkStart w:id="316" w:name="_Toc384308479"/>
      <w:bookmarkStart w:id="317" w:name="_Toc369265509"/>
      <w:bookmarkStart w:id="318" w:name="_Toc420499354"/>
      <w:bookmarkStart w:id="319" w:name="_Toc404679681"/>
      <w:bookmarkStart w:id="320" w:name="_Toc361753949"/>
      <w:bookmarkStart w:id="321" w:name="_Toc426387911"/>
      <w:bookmarkStart w:id="322" w:name="_Toc17119"/>
      <w:bookmarkStart w:id="323" w:name="_Toc25280"/>
      <w:bookmarkStart w:id="324" w:name="_Toc513635012"/>
      <w:bookmarkStart w:id="325" w:name="_Toc467156083"/>
      <w:bookmarkStart w:id="326" w:name="_Toc423338609"/>
      <w:bookmarkStart w:id="327" w:name="_Toc513216362"/>
      <w:bookmarkStart w:id="328" w:name="_Toc429917388"/>
      <w:bookmarkStart w:id="329" w:name="_Toc429918058"/>
      <w:bookmarkStart w:id="330" w:name="_Toc467155993"/>
      <w:r>
        <w:rPr>
          <w:color w:val="auto"/>
        </w:rPr>
        <w:t>12.</w:t>
      </w:r>
      <w:r>
        <w:rPr>
          <w:rFonts w:hint="eastAsia"/>
          <w:color w:val="auto"/>
        </w:rPr>
        <w:t>联合体</w:t>
      </w:r>
      <w:bookmarkEnd w:id="309"/>
      <w:bookmarkEnd w:id="310"/>
      <w:bookmarkEnd w:id="311"/>
      <w:bookmarkEnd w:id="312"/>
      <w:bookmarkEnd w:id="313"/>
      <w:bookmarkEnd w:id="314"/>
      <w:bookmarkEnd w:id="315"/>
      <w:bookmarkEnd w:id="316"/>
      <w:bookmarkEnd w:id="317"/>
      <w:bookmarkEnd w:id="318"/>
      <w:bookmarkEnd w:id="319"/>
      <w:bookmarkEnd w:id="320"/>
      <w:r>
        <w:rPr>
          <w:rFonts w:hint="eastAsia"/>
          <w:color w:val="auto"/>
        </w:rPr>
        <w:t>比选</w:t>
      </w:r>
      <w:bookmarkEnd w:id="321"/>
      <w:bookmarkEnd w:id="322"/>
      <w:bookmarkEnd w:id="323"/>
      <w:bookmarkEnd w:id="324"/>
      <w:bookmarkEnd w:id="325"/>
      <w:bookmarkEnd w:id="326"/>
      <w:bookmarkEnd w:id="327"/>
      <w:bookmarkEnd w:id="328"/>
      <w:bookmarkEnd w:id="329"/>
      <w:bookmarkEnd w:id="330"/>
    </w:p>
    <w:p>
      <w:pPr>
        <w:ind w:firstLine="482"/>
        <w:rPr>
          <w:rFonts w:hint="eastAsia"/>
          <w:color w:val="auto"/>
        </w:rPr>
      </w:pPr>
      <w:r>
        <w:rPr>
          <w:rFonts w:hint="eastAsia"/>
          <w:color w:val="auto"/>
        </w:rPr>
        <w:t>本项目</w:t>
      </w:r>
      <w:r>
        <w:rPr>
          <w:rFonts w:hint="eastAsia"/>
          <w:color w:val="auto"/>
          <w:lang w:val="en-US" w:eastAsia="zh-CN"/>
        </w:rPr>
        <w:t>不</w:t>
      </w:r>
      <w:r>
        <w:rPr>
          <w:rFonts w:hint="eastAsia"/>
          <w:color w:val="auto"/>
        </w:rPr>
        <w:t>接受联合体参加比选。</w:t>
      </w:r>
    </w:p>
    <w:p>
      <w:pPr>
        <w:pStyle w:val="5"/>
        <w:rPr>
          <w:color w:val="auto"/>
        </w:rPr>
      </w:pPr>
      <w:bookmarkStart w:id="331" w:name="_Toc467156084"/>
      <w:bookmarkStart w:id="332" w:name="_Toc423338610"/>
      <w:bookmarkStart w:id="333" w:name="_Toc10028"/>
      <w:bookmarkStart w:id="334" w:name="_Toc404679682"/>
      <w:bookmarkStart w:id="335" w:name="_Toc217446048"/>
      <w:bookmarkStart w:id="336" w:name="_Toc429918059"/>
      <w:bookmarkStart w:id="337" w:name="_Toc513216363"/>
      <w:bookmarkStart w:id="338" w:name="_Toc396828131"/>
      <w:bookmarkStart w:id="339" w:name="_Toc361754263"/>
      <w:bookmarkStart w:id="340" w:name="_Toc421195889"/>
      <w:bookmarkStart w:id="341" w:name="_Toc429917389"/>
      <w:bookmarkStart w:id="342" w:name="_Toc384308481"/>
      <w:bookmarkStart w:id="343" w:name="_Toc421284546"/>
      <w:bookmarkStart w:id="344" w:name="_Toc513635013"/>
      <w:bookmarkStart w:id="345" w:name="_Toc369265511"/>
      <w:bookmarkStart w:id="346" w:name="_Toc420499355"/>
      <w:bookmarkStart w:id="347" w:name="_Toc405561336"/>
      <w:bookmarkStart w:id="348" w:name="_Toc426387912"/>
      <w:bookmarkStart w:id="349" w:name="_Toc183582217"/>
      <w:bookmarkStart w:id="350" w:name="_Toc467155994"/>
      <w:bookmarkStart w:id="351" w:name="_Toc420494705"/>
      <w:bookmarkStart w:id="352" w:name="_Toc25552"/>
      <w:bookmarkStart w:id="353" w:name="_Toc361753951"/>
      <w:bookmarkStart w:id="354" w:name="_Toc183682354"/>
      <w:r>
        <w:rPr>
          <w:color w:val="auto"/>
        </w:rPr>
        <w:t>13</w:t>
      </w:r>
      <w:r>
        <w:rPr>
          <w:rFonts w:hint="eastAsia"/>
          <w:color w:val="auto"/>
        </w:rPr>
        <w:t>.响应文件的组成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ind w:firstLine="480"/>
        <w:rPr>
          <w:color w:val="auto"/>
        </w:rPr>
      </w:pPr>
      <w:r>
        <w:rPr>
          <w:rFonts w:hint="eastAsia"/>
          <w:color w:val="auto"/>
        </w:rPr>
        <w:t>响应人应按照比选文件的规定和要求编制响应文件。响应人拟在成交后将成交项目的非主体、非关键性工作交由他人完成的，应当在响应文件中载明。响应人编写的响应文件应包括下列部分：</w:t>
      </w:r>
    </w:p>
    <w:p>
      <w:pPr>
        <w:ind w:firstLine="482"/>
        <w:rPr>
          <w:b/>
          <w:color w:val="auto"/>
        </w:rPr>
      </w:pPr>
      <w:r>
        <w:rPr>
          <w:b/>
          <w:color w:val="auto"/>
        </w:rPr>
        <w:t xml:space="preserve">13.1 </w:t>
      </w:r>
      <w:r>
        <w:rPr>
          <w:rFonts w:hint="eastAsia"/>
          <w:b/>
          <w:color w:val="auto"/>
        </w:rPr>
        <w:t>报价部分。</w:t>
      </w:r>
      <w:r>
        <w:rPr>
          <w:rFonts w:hint="eastAsia"/>
          <w:bCs/>
          <w:color w:val="auto"/>
        </w:rPr>
        <w:t>响应人</w:t>
      </w:r>
      <w:r>
        <w:rPr>
          <w:rFonts w:hint="eastAsia"/>
          <w:color w:val="auto"/>
        </w:rPr>
        <w:t>按照比选文件要求填写的“开标一览表”及“报价明细表”。</w:t>
      </w:r>
      <w:r>
        <w:rPr>
          <w:color w:val="auto"/>
        </w:rPr>
        <w:t xml:space="preserve"> </w:t>
      </w:r>
      <w:r>
        <w:rPr>
          <w:rFonts w:hint="eastAsia"/>
          <w:color w:val="auto"/>
        </w:rPr>
        <w:t>本次采购报价要求：</w:t>
      </w:r>
    </w:p>
    <w:p>
      <w:pPr>
        <w:ind w:firstLine="480"/>
        <w:rPr>
          <w:color w:val="auto"/>
        </w:rPr>
      </w:pPr>
      <w:r>
        <w:rPr>
          <w:rFonts w:hint="eastAsia"/>
          <w:color w:val="auto"/>
        </w:rPr>
        <w:t>（</w:t>
      </w:r>
      <w:r>
        <w:rPr>
          <w:color w:val="auto"/>
        </w:rPr>
        <w:t>1</w:t>
      </w:r>
      <w:r>
        <w:rPr>
          <w:rFonts w:hint="eastAsia"/>
          <w:color w:val="auto"/>
        </w:rPr>
        <w:t>）响应人的报价是响应人响应采购项目要求的全部工作内容的价格体现，包括响应人完成本项目所需的一切费用。</w:t>
      </w:r>
    </w:p>
    <w:p>
      <w:pPr>
        <w:ind w:firstLine="480"/>
        <w:rPr>
          <w:color w:val="auto"/>
        </w:rPr>
      </w:pPr>
      <w:r>
        <w:rPr>
          <w:color w:val="auto"/>
        </w:rPr>
        <w:t xml:space="preserve"> </w:t>
      </w:r>
      <w:r>
        <w:rPr>
          <w:rFonts w:hint="eastAsia"/>
          <w:color w:val="auto"/>
        </w:rPr>
        <w:t>（</w:t>
      </w:r>
      <w:r>
        <w:rPr>
          <w:color w:val="auto"/>
        </w:rPr>
        <w:t>2</w:t>
      </w:r>
      <w:r>
        <w:rPr>
          <w:rFonts w:hint="eastAsia"/>
          <w:color w:val="auto"/>
        </w:rPr>
        <w:t>）响应人每种货物只允许有一个报价，并且在合同履行过程中是固定不变的，任何有选择或可调整的报价将不予接受，并按无效比选处理。</w:t>
      </w:r>
    </w:p>
    <w:p>
      <w:pPr>
        <w:ind w:firstLine="480"/>
        <w:rPr>
          <w:color w:val="auto"/>
        </w:rPr>
      </w:pPr>
      <w:r>
        <w:rPr>
          <w:rFonts w:hint="eastAsia"/>
          <w:color w:val="auto"/>
        </w:rPr>
        <w:t>（</w:t>
      </w:r>
      <w:r>
        <w:rPr>
          <w:color w:val="auto"/>
        </w:rPr>
        <w:t>3</w:t>
      </w:r>
      <w:r>
        <w:rPr>
          <w:rFonts w:hint="eastAsia"/>
          <w:color w:val="auto"/>
        </w:rPr>
        <w:t>）所有报价币种为人民币。</w:t>
      </w:r>
    </w:p>
    <w:p>
      <w:pPr>
        <w:ind w:firstLine="480"/>
        <w:rPr>
          <w:color w:val="auto"/>
        </w:rPr>
      </w:pPr>
      <w:bookmarkStart w:id="355" w:name="_Toc395017741"/>
      <w:r>
        <w:rPr>
          <w:rFonts w:hint="eastAsia"/>
          <w:color w:val="auto"/>
        </w:rPr>
        <w:t>若不按照以上方式进行报价，视为未响应比选文件的要求。</w:t>
      </w:r>
      <w:bookmarkEnd w:id="355"/>
    </w:p>
    <w:p>
      <w:pPr>
        <w:ind w:firstLine="482"/>
        <w:rPr>
          <w:color w:val="auto"/>
        </w:rPr>
      </w:pPr>
      <w:r>
        <w:rPr>
          <w:b/>
          <w:bCs/>
          <w:color w:val="auto"/>
        </w:rPr>
        <w:t>13.2</w:t>
      </w:r>
      <w:r>
        <w:rPr>
          <w:rFonts w:hint="eastAsia"/>
          <w:b/>
          <w:bCs/>
          <w:color w:val="auto"/>
        </w:rPr>
        <w:t>技术部分。</w:t>
      </w:r>
      <w:r>
        <w:rPr>
          <w:rFonts w:hint="eastAsia"/>
          <w:bCs/>
          <w:color w:val="auto"/>
        </w:rPr>
        <w:t>响应人</w:t>
      </w:r>
      <w:r>
        <w:rPr>
          <w:rFonts w:hint="eastAsia"/>
          <w:color w:val="auto"/>
        </w:rPr>
        <w:t>按照比选文件要求做出的技术应答，主要是针对采购项目的技术指标、参数和技术要求做出的实质性响应和满足。响应人的技术应答应包括下列内容：</w:t>
      </w:r>
    </w:p>
    <w:p>
      <w:pPr>
        <w:ind w:firstLine="480"/>
        <w:rPr>
          <w:color w:val="auto"/>
        </w:rPr>
      </w:pPr>
      <w:r>
        <w:rPr>
          <w:rFonts w:hint="eastAsia"/>
          <w:color w:val="auto"/>
        </w:rPr>
        <w:t>（1）比选产品的品牌、型号、配置；</w:t>
      </w:r>
    </w:p>
    <w:p>
      <w:pPr>
        <w:ind w:firstLine="480"/>
        <w:rPr>
          <w:color w:val="auto"/>
        </w:rPr>
      </w:pPr>
      <w:r>
        <w:rPr>
          <w:rFonts w:hint="eastAsia"/>
          <w:color w:val="auto"/>
        </w:rPr>
        <w:t>（2）比选产品技术指标和参数；</w:t>
      </w:r>
    </w:p>
    <w:p>
      <w:pPr>
        <w:ind w:firstLine="480"/>
        <w:rPr>
          <w:color w:val="auto"/>
        </w:rPr>
      </w:pPr>
      <w:r>
        <w:rPr>
          <w:rFonts w:hint="eastAsia"/>
          <w:color w:val="auto"/>
        </w:rPr>
        <w:t>（3）比选产品技术参数表；</w:t>
      </w:r>
    </w:p>
    <w:p>
      <w:pPr>
        <w:ind w:firstLine="480"/>
        <w:rPr>
          <w:color w:val="auto"/>
        </w:rPr>
      </w:pPr>
      <w:r>
        <w:rPr>
          <w:rFonts w:hint="eastAsia"/>
          <w:color w:val="auto"/>
        </w:rPr>
        <w:t>（4）响应人认为需要提供的其他文件和资料。</w:t>
      </w:r>
    </w:p>
    <w:p>
      <w:pPr>
        <w:ind w:firstLine="482"/>
        <w:rPr>
          <w:color w:val="auto"/>
        </w:rPr>
      </w:pPr>
      <w:r>
        <w:rPr>
          <w:b/>
          <w:bCs/>
          <w:color w:val="auto"/>
        </w:rPr>
        <w:t xml:space="preserve">13.3 </w:t>
      </w:r>
      <w:r>
        <w:rPr>
          <w:rFonts w:hint="eastAsia"/>
          <w:b/>
          <w:bCs/>
          <w:color w:val="auto"/>
        </w:rPr>
        <w:t>商务部分。</w:t>
      </w:r>
      <w:r>
        <w:rPr>
          <w:rFonts w:hint="eastAsia"/>
          <w:bCs/>
          <w:color w:val="auto"/>
        </w:rPr>
        <w:t>响应人</w:t>
      </w:r>
      <w:r>
        <w:rPr>
          <w:rFonts w:hint="eastAsia"/>
          <w:color w:val="auto"/>
        </w:rPr>
        <w:t>按照比选文件要求提供的有关证明材料及优惠承诺。包括以下内容：</w:t>
      </w:r>
    </w:p>
    <w:p>
      <w:pPr>
        <w:ind w:firstLine="480"/>
        <w:rPr>
          <w:color w:val="auto"/>
        </w:rPr>
      </w:pPr>
      <w:r>
        <w:rPr>
          <w:color w:val="auto"/>
        </w:rPr>
        <w:t xml:space="preserve"> </w:t>
      </w:r>
      <w:r>
        <w:rPr>
          <w:rFonts w:hint="eastAsia"/>
          <w:color w:val="auto"/>
        </w:rPr>
        <w:t>（</w:t>
      </w:r>
      <w:r>
        <w:rPr>
          <w:color w:val="auto"/>
        </w:rPr>
        <w:t>1</w:t>
      </w:r>
      <w:r>
        <w:rPr>
          <w:rFonts w:hint="eastAsia"/>
          <w:color w:val="auto"/>
        </w:rPr>
        <w:t>）响应函；</w:t>
      </w:r>
    </w:p>
    <w:p>
      <w:pPr>
        <w:ind w:firstLine="480"/>
        <w:rPr>
          <w:color w:val="auto"/>
        </w:rPr>
      </w:pPr>
      <w:r>
        <w:rPr>
          <w:color w:val="auto"/>
        </w:rPr>
        <w:t xml:space="preserve"> </w:t>
      </w:r>
      <w:r>
        <w:rPr>
          <w:rFonts w:hint="eastAsia"/>
          <w:color w:val="auto"/>
        </w:rPr>
        <w:t>（</w:t>
      </w:r>
      <w:r>
        <w:rPr>
          <w:color w:val="auto"/>
        </w:rPr>
        <w:t>2</w:t>
      </w:r>
      <w:r>
        <w:rPr>
          <w:rFonts w:hint="eastAsia"/>
          <w:color w:val="auto"/>
        </w:rPr>
        <w:t>）响应人企业法人营业执照副本复印件、税务登记证副本复印件；</w:t>
      </w:r>
    </w:p>
    <w:p>
      <w:pPr>
        <w:ind w:firstLine="600" w:firstLineChars="250"/>
        <w:rPr>
          <w:color w:val="auto"/>
        </w:rPr>
      </w:pPr>
      <w:r>
        <w:rPr>
          <w:rFonts w:hint="eastAsia"/>
          <w:color w:val="auto"/>
        </w:rPr>
        <w:t>（</w:t>
      </w:r>
      <w:r>
        <w:rPr>
          <w:color w:val="auto"/>
        </w:rPr>
        <w:t>3</w:t>
      </w:r>
      <w:r>
        <w:rPr>
          <w:rFonts w:hint="eastAsia"/>
          <w:color w:val="auto"/>
        </w:rPr>
        <w:t>）响应人组织机构代码证复印件；</w:t>
      </w:r>
    </w:p>
    <w:p>
      <w:pPr>
        <w:ind w:firstLine="480"/>
        <w:rPr>
          <w:color w:val="auto"/>
        </w:rPr>
      </w:pPr>
      <w:r>
        <w:rPr>
          <w:color w:val="auto"/>
        </w:rPr>
        <w:t xml:space="preserve"> </w:t>
      </w:r>
      <w:r>
        <w:rPr>
          <w:rFonts w:hint="eastAsia"/>
          <w:color w:val="auto"/>
        </w:rPr>
        <w:t>（</w:t>
      </w:r>
      <w:r>
        <w:rPr>
          <w:color w:val="auto"/>
        </w:rPr>
        <w:t>4</w:t>
      </w:r>
      <w:r>
        <w:rPr>
          <w:rFonts w:hint="eastAsia"/>
          <w:color w:val="auto"/>
        </w:rPr>
        <w:t>）法定代表人授权书原件；</w:t>
      </w:r>
    </w:p>
    <w:p>
      <w:pPr>
        <w:ind w:firstLine="480"/>
        <w:rPr>
          <w:color w:val="auto"/>
        </w:rPr>
      </w:pPr>
      <w:r>
        <w:rPr>
          <w:color w:val="auto"/>
        </w:rPr>
        <w:t xml:space="preserve"> </w:t>
      </w:r>
      <w:r>
        <w:rPr>
          <w:rFonts w:hint="eastAsia"/>
          <w:color w:val="auto"/>
        </w:rPr>
        <w:t>（</w:t>
      </w:r>
      <w:r>
        <w:rPr>
          <w:color w:val="auto"/>
        </w:rPr>
        <w:t>5</w:t>
      </w:r>
      <w:r>
        <w:rPr>
          <w:rFonts w:hint="eastAsia"/>
          <w:color w:val="auto"/>
        </w:rPr>
        <w:t>）法定代表人和授权代表身份证复印件；；</w:t>
      </w:r>
    </w:p>
    <w:p>
      <w:pPr>
        <w:ind w:firstLine="600" w:firstLineChars="250"/>
        <w:rPr>
          <w:color w:val="auto"/>
        </w:rPr>
      </w:pPr>
      <w:r>
        <w:rPr>
          <w:rFonts w:hint="eastAsia"/>
          <w:color w:val="auto"/>
        </w:rPr>
        <w:t>（6）响应人认为需要提供的其他文件和资料。</w:t>
      </w:r>
      <w:r>
        <w:rPr>
          <w:color w:val="auto"/>
        </w:rPr>
        <w:t xml:space="preserve"> </w:t>
      </w:r>
    </w:p>
    <w:p>
      <w:pPr>
        <w:ind w:firstLine="480"/>
        <w:rPr>
          <w:rFonts w:hint="eastAsia"/>
          <w:color w:val="auto"/>
        </w:rPr>
      </w:pPr>
      <w:r>
        <w:rPr>
          <w:rFonts w:hint="eastAsia"/>
          <w:color w:val="auto"/>
        </w:rPr>
        <w:t>注：2015年9月25日以来在四川省或实行“三证合一、一照一码”的地区新注册的公司或换过证的公司，关于（2）、（3）项内容响应人只需提供具有社会信用代码的企业法人营业执照副本复印件。</w:t>
      </w:r>
    </w:p>
    <w:p>
      <w:pPr>
        <w:ind w:firstLine="482"/>
        <w:rPr>
          <w:color w:val="auto"/>
        </w:rPr>
      </w:pPr>
      <w:r>
        <w:rPr>
          <w:b/>
          <w:color w:val="auto"/>
        </w:rPr>
        <w:t>13.4</w:t>
      </w:r>
      <w:r>
        <w:rPr>
          <w:rFonts w:hint="eastAsia"/>
          <w:b/>
          <w:color w:val="auto"/>
        </w:rPr>
        <w:t>其他部分：</w:t>
      </w:r>
      <w:r>
        <w:rPr>
          <w:rFonts w:hint="eastAsia"/>
          <w:color w:val="auto"/>
        </w:rPr>
        <w:t>响应人按照比选文件要求作出的其他应答和承诺。</w:t>
      </w:r>
    </w:p>
    <w:p>
      <w:pPr>
        <w:pStyle w:val="5"/>
        <w:rPr>
          <w:color w:val="auto"/>
        </w:rPr>
      </w:pPr>
      <w:bookmarkStart w:id="356" w:name="_Toc183582218"/>
      <w:bookmarkStart w:id="357" w:name="_Toc426387913"/>
      <w:bookmarkStart w:id="358" w:name="_Toc396828132"/>
      <w:bookmarkStart w:id="359" w:name="_Toc369265512"/>
      <w:bookmarkStart w:id="360" w:name="_Toc513635014"/>
      <w:bookmarkStart w:id="361" w:name="_Toc361754264"/>
      <w:bookmarkStart w:id="362" w:name="_Toc183682355"/>
      <w:bookmarkStart w:id="363" w:name="_Toc217446049"/>
      <w:bookmarkStart w:id="364" w:name="_Toc13830"/>
      <w:bookmarkStart w:id="365" w:name="_Toc429918060"/>
      <w:bookmarkStart w:id="366" w:name="_Toc467155995"/>
      <w:bookmarkStart w:id="367" w:name="_Toc1190"/>
      <w:bookmarkStart w:id="368" w:name="_Toc420494706"/>
      <w:bookmarkStart w:id="369" w:name="_Toc405561337"/>
      <w:bookmarkStart w:id="370" w:name="_Toc384308482"/>
      <w:bookmarkStart w:id="371" w:name="_Toc361753952"/>
      <w:bookmarkStart w:id="372" w:name="_Toc404679683"/>
      <w:bookmarkStart w:id="373" w:name="_Toc421284547"/>
      <w:bookmarkStart w:id="374" w:name="_Toc423338611"/>
      <w:bookmarkStart w:id="375" w:name="_Toc429917390"/>
      <w:bookmarkStart w:id="376" w:name="_Toc467156085"/>
      <w:bookmarkStart w:id="377" w:name="_Toc513216364"/>
      <w:bookmarkStart w:id="378" w:name="_Toc420499356"/>
      <w:bookmarkStart w:id="379" w:name="_Toc421195890"/>
      <w:r>
        <w:rPr>
          <w:color w:val="auto"/>
        </w:rPr>
        <w:t>14</w:t>
      </w:r>
      <w:r>
        <w:rPr>
          <w:rFonts w:hint="eastAsia"/>
          <w:color w:val="auto"/>
        </w:rPr>
        <w:t>.响应文件格式</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ind w:firstLine="480"/>
        <w:rPr>
          <w:color w:val="auto"/>
        </w:rPr>
      </w:pPr>
      <w:r>
        <w:rPr>
          <w:color w:val="auto"/>
        </w:rPr>
        <w:t xml:space="preserve">14.1 </w:t>
      </w:r>
      <w:r>
        <w:rPr>
          <w:rFonts w:hint="eastAsia"/>
          <w:color w:val="auto"/>
        </w:rPr>
        <w:t>响应人应严格按照比选文件第三章中提供的“响应文件格式”填写相关内容。除明确允许响应人可以自行编写的外，响应人不得以“响应文件格式”规定之外的方式填写相关内容。</w:t>
      </w:r>
    </w:p>
    <w:p>
      <w:pPr>
        <w:ind w:firstLine="480"/>
        <w:rPr>
          <w:color w:val="auto"/>
        </w:rPr>
      </w:pPr>
      <w:r>
        <w:rPr>
          <w:color w:val="auto"/>
        </w:rPr>
        <w:t xml:space="preserve">14.2 </w:t>
      </w:r>
      <w:r>
        <w:rPr>
          <w:rFonts w:hint="eastAsia"/>
          <w:color w:val="auto"/>
        </w:rPr>
        <w:t>对于没有格式要求的响应文件由响应人自行编写。</w:t>
      </w:r>
    </w:p>
    <w:p>
      <w:pPr>
        <w:pStyle w:val="5"/>
        <w:rPr>
          <w:color w:val="auto"/>
        </w:rPr>
      </w:pPr>
      <w:bookmarkStart w:id="380" w:name="_Toc429917391"/>
      <w:bookmarkStart w:id="381" w:name="_Toc404679684"/>
      <w:bookmarkStart w:id="382" w:name="_Toc513216365"/>
      <w:bookmarkStart w:id="383" w:name="_Toc369265513"/>
      <w:bookmarkStart w:id="384" w:name="_Toc361753953"/>
      <w:bookmarkStart w:id="385" w:name="_Toc467156086"/>
      <w:bookmarkStart w:id="386" w:name="_Toc396828133"/>
      <w:bookmarkStart w:id="387" w:name="_Toc420499357"/>
      <w:bookmarkStart w:id="388" w:name="_Toc421195891"/>
      <w:bookmarkStart w:id="389" w:name="_Toc513635015"/>
      <w:bookmarkStart w:id="390" w:name="_Toc183582223"/>
      <w:bookmarkStart w:id="391" w:name="_Toc19273"/>
      <w:bookmarkStart w:id="392" w:name="_Toc217446050"/>
      <w:bookmarkStart w:id="393" w:name="_Toc183682360"/>
      <w:bookmarkStart w:id="394" w:name="_Toc421284548"/>
      <w:bookmarkStart w:id="395" w:name="_Toc426387914"/>
      <w:bookmarkStart w:id="396" w:name="_Toc423338612"/>
      <w:bookmarkStart w:id="397" w:name="_Toc384308483"/>
      <w:bookmarkStart w:id="398" w:name="_Toc420494707"/>
      <w:bookmarkStart w:id="399" w:name="_Toc361754265"/>
      <w:bookmarkStart w:id="400" w:name="_Toc405561338"/>
      <w:bookmarkStart w:id="401" w:name="_Toc20714"/>
      <w:bookmarkStart w:id="402" w:name="_Toc467155996"/>
      <w:bookmarkStart w:id="403" w:name="_Toc429918061"/>
      <w:r>
        <w:rPr>
          <w:color w:val="auto"/>
        </w:rPr>
        <w:t>15</w:t>
      </w:r>
      <w:r>
        <w:rPr>
          <w:rFonts w:hint="eastAsia"/>
          <w:color w:val="auto"/>
        </w:rPr>
        <w:t>.比选保证金</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ind w:firstLine="480"/>
        <w:rPr>
          <w:color w:val="auto"/>
        </w:rPr>
      </w:pPr>
      <w:r>
        <w:rPr>
          <w:rFonts w:hint="eastAsia"/>
          <w:color w:val="auto"/>
        </w:rPr>
        <w:t>本项目</w:t>
      </w:r>
      <w:r>
        <w:rPr>
          <w:rFonts w:hint="eastAsia"/>
          <w:color w:val="auto"/>
          <w:lang w:val="en-US" w:eastAsia="zh-CN"/>
        </w:rPr>
        <w:t>不</w:t>
      </w:r>
      <w:r>
        <w:rPr>
          <w:rFonts w:hint="eastAsia"/>
          <w:color w:val="auto"/>
        </w:rPr>
        <w:t>收取比选保证金。</w:t>
      </w:r>
    </w:p>
    <w:p>
      <w:pPr>
        <w:pStyle w:val="5"/>
        <w:rPr>
          <w:color w:val="auto"/>
        </w:rPr>
      </w:pPr>
      <w:bookmarkStart w:id="404" w:name="_Toc426387915"/>
      <w:bookmarkStart w:id="405" w:name="_Toc421195892"/>
      <w:bookmarkStart w:id="406" w:name="_Toc369265515"/>
      <w:bookmarkStart w:id="407" w:name="_Toc467155997"/>
      <w:bookmarkStart w:id="408" w:name="_Toc384308485"/>
      <w:bookmarkStart w:id="409" w:name="_Toc429917392"/>
      <w:bookmarkStart w:id="410" w:name="_Toc31838"/>
      <w:bookmarkStart w:id="411" w:name="_Toc404679685"/>
      <w:bookmarkStart w:id="412" w:name="_Toc31188"/>
      <w:bookmarkStart w:id="413" w:name="_Toc361754267"/>
      <w:bookmarkStart w:id="414" w:name="_Toc429918062"/>
      <w:bookmarkStart w:id="415" w:name="_Toc423338613"/>
      <w:bookmarkStart w:id="416" w:name="_Toc467156087"/>
      <w:bookmarkStart w:id="417" w:name="_Toc183582225"/>
      <w:bookmarkStart w:id="418" w:name="_Toc405561339"/>
      <w:bookmarkStart w:id="419" w:name="_Toc513216366"/>
      <w:bookmarkStart w:id="420" w:name="_Toc513635016"/>
      <w:bookmarkStart w:id="421" w:name="_Toc421284549"/>
      <w:bookmarkStart w:id="422" w:name="_Toc217446052"/>
      <w:bookmarkStart w:id="423" w:name="_Toc361753955"/>
      <w:bookmarkStart w:id="424" w:name="_Toc396828135"/>
      <w:bookmarkStart w:id="425" w:name="_Toc183682362"/>
      <w:bookmarkStart w:id="426" w:name="_Toc420499358"/>
      <w:bookmarkStart w:id="427" w:name="_Toc420494708"/>
      <w:r>
        <w:rPr>
          <w:color w:val="auto"/>
        </w:rPr>
        <w:t>16</w:t>
      </w:r>
      <w:r>
        <w:rPr>
          <w:rFonts w:hint="eastAsia"/>
          <w:color w:val="auto"/>
        </w:rPr>
        <w:t>.响应文件的印制和签署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ind w:firstLine="480"/>
        <w:rPr>
          <w:color w:val="auto"/>
        </w:rPr>
      </w:pPr>
      <w:r>
        <w:rPr>
          <w:color w:val="auto"/>
        </w:rPr>
        <w:t xml:space="preserve">16.1 </w:t>
      </w:r>
      <w:r>
        <w:rPr>
          <w:rFonts w:hint="eastAsia"/>
          <w:color w:val="auto"/>
        </w:rPr>
        <w:t>响应人应当准备响应文件正本</w:t>
      </w:r>
      <w:r>
        <w:rPr>
          <w:rFonts w:hint="eastAsia"/>
          <w:color w:val="auto"/>
          <w:lang w:val="en-US" w:eastAsia="zh-CN"/>
        </w:rPr>
        <w:t>1</w:t>
      </w:r>
      <w:r>
        <w:rPr>
          <w:rFonts w:hint="eastAsia"/>
          <w:color w:val="auto"/>
        </w:rPr>
        <w:t>份、副本</w:t>
      </w:r>
      <w:r>
        <w:rPr>
          <w:rFonts w:hint="eastAsia"/>
          <w:color w:val="auto"/>
          <w:lang w:val="en-US" w:eastAsia="zh-CN"/>
        </w:rPr>
        <w:t>1</w:t>
      </w:r>
      <w:r>
        <w:rPr>
          <w:rFonts w:hint="eastAsia"/>
          <w:color w:val="auto"/>
        </w:rPr>
        <w:t>份，以及用于开标唱标单独提交的“开标一览表”</w:t>
      </w:r>
      <w:r>
        <w:rPr>
          <w:rFonts w:hint="eastAsia"/>
          <w:color w:val="auto"/>
          <w:lang w:val="en-US" w:eastAsia="zh-CN"/>
        </w:rPr>
        <w:t>1</w:t>
      </w:r>
      <w:r>
        <w:rPr>
          <w:rFonts w:hint="eastAsia"/>
          <w:color w:val="auto"/>
        </w:rPr>
        <w:t>份。响应文件的正本和副本应在其封面右上角清楚地标明“正本”或“副本”字样。若正本和副本有不一致的内容，以正本书面响应文件为准。</w:t>
      </w:r>
    </w:p>
    <w:p>
      <w:pPr>
        <w:ind w:firstLine="480"/>
        <w:rPr>
          <w:color w:val="auto"/>
        </w:rPr>
      </w:pPr>
      <w:r>
        <w:rPr>
          <w:color w:val="auto"/>
        </w:rPr>
        <w:t xml:space="preserve">16.2 </w:t>
      </w:r>
      <w:r>
        <w:rPr>
          <w:rFonts w:hint="eastAsia"/>
          <w:color w:val="auto"/>
        </w:rPr>
        <w:t>响应文件的正本和副本均需打印或用不褪色、不变质的墨水书写，并由响应人的法定代表人或其授权代表在规定签章处签字和盖章。响应文件副本可采用正本的复印件。用于开标唱标单独提交的“开标一览表”应为原件。</w:t>
      </w:r>
    </w:p>
    <w:p>
      <w:pPr>
        <w:ind w:firstLine="480"/>
        <w:rPr>
          <w:color w:val="auto"/>
        </w:rPr>
      </w:pPr>
      <w:r>
        <w:rPr>
          <w:color w:val="auto"/>
        </w:rPr>
        <w:t xml:space="preserve">16.3 </w:t>
      </w:r>
      <w:r>
        <w:rPr>
          <w:rFonts w:hint="eastAsia"/>
          <w:color w:val="auto"/>
        </w:rPr>
        <w:t>响应文件的打印和书写应清楚工整，任何行间插字、涂改或增删，必须由响应人的法定代表人或其授权代表签字或盖个人印鉴。字迹潦草、表达不清或可能导致非唯一理解的响应文件可能视为无效比选。</w:t>
      </w:r>
    </w:p>
    <w:p>
      <w:pPr>
        <w:ind w:firstLine="480"/>
        <w:rPr>
          <w:color w:val="auto"/>
        </w:rPr>
      </w:pPr>
      <w:r>
        <w:rPr>
          <w:color w:val="auto"/>
        </w:rPr>
        <w:t xml:space="preserve">16.4 </w:t>
      </w:r>
      <w:r>
        <w:rPr>
          <w:rFonts w:hint="eastAsia"/>
          <w:color w:val="auto"/>
        </w:rPr>
        <w:t>响应文件正本和副本必须装订成册并编码。</w:t>
      </w:r>
    </w:p>
    <w:p>
      <w:pPr>
        <w:ind w:firstLine="480"/>
        <w:rPr>
          <w:color w:val="auto"/>
        </w:rPr>
      </w:pPr>
      <w:r>
        <w:rPr>
          <w:color w:val="auto"/>
        </w:rPr>
        <w:t xml:space="preserve">16.5 </w:t>
      </w:r>
      <w:r>
        <w:rPr>
          <w:rFonts w:hint="eastAsia"/>
          <w:color w:val="auto"/>
        </w:rPr>
        <w:t>响应文件应根据比选文件的要求制作，签署、盖章和内容应完整，如有遗漏，将被视为无效比选。</w:t>
      </w:r>
    </w:p>
    <w:p>
      <w:pPr>
        <w:ind w:firstLine="480"/>
        <w:rPr>
          <w:color w:val="auto"/>
        </w:rPr>
      </w:pPr>
      <w:r>
        <w:rPr>
          <w:color w:val="auto"/>
        </w:rPr>
        <w:t xml:space="preserve">16.6 </w:t>
      </w:r>
      <w:r>
        <w:rPr>
          <w:rFonts w:hint="eastAsia"/>
          <w:color w:val="auto"/>
        </w:rPr>
        <w:t>响应文件统一用</w:t>
      </w:r>
      <w:r>
        <w:rPr>
          <w:color w:val="auto"/>
        </w:rPr>
        <w:t>A4</w:t>
      </w:r>
      <w:r>
        <w:rPr>
          <w:rFonts w:hint="eastAsia"/>
          <w:color w:val="auto"/>
        </w:rPr>
        <w:t>幅面纸印制。</w:t>
      </w:r>
    </w:p>
    <w:p>
      <w:pPr>
        <w:pStyle w:val="5"/>
        <w:rPr>
          <w:color w:val="auto"/>
        </w:rPr>
      </w:pPr>
      <w:bookmarkStart w:id="428" w:name="_Toc183582226"/>
      <w:bookmarkStart w:id="429" w:name="_Toc183682363"/>
      <w:bookmarkStart w:id="430" w:name="_Toc77400781"/>
      <w:bookmarkStart w:id="431" w:name="_Toc89075877"/>
      <w:bookmarkStart w:id="432" w:name="_Toc384308486"/>
      <w:bookmarkStart w:id="433" w:name="_Toc404679686"/>
      <w:bookmarkStart w:id="434" w:name="_Toc467156088"/>
      <w:bookmarkStart w:id="435" w:name="_Toc429917393"/>
      <w:bookmarkStart w:id="436" w:name="_Toc467155998"/>
      <w:bookmarkStart w:id="437" w:name="_Toc25218"/>
      <w:bookmarkStart w:id="438" w:name="_Toc429918063"/>
      <w:bookmarkStart w:id="439" w:name="_Toc361753956"/>
      <w:bookmarkStart w:id="440" w:name="_Toc217446053"/>
      <w:bookmarkStart w:id="441" w:name="_Toc361754268"/>
      <w:bookmarkStart w:id="442" w:name="_Toc369265516"/>
      <w:bookmarkStart w:id="443" w:name="_Toc420494709"/>
      <w:bookmarkStart w:id="444" w:name="_Toc420499359"/>
      <w:bookmarkStart w:id="445" w:name="_Toc426387916"/>
      <w:bookmarkStart w:id="446" w:name="_Toc421284550"/>
      <w:bookmarkStart w:id="447" w:name="_Toc6351"/>
      <w:bookmarkStart w:id="448" w:name="_Toc513216367"/>
      <w:bookmarkStart w:id="449" w:name="_Toc513635017"/>
      <w:bookmarkStart w:id="450" w:name="_Toc423338614"/>
      <w:bookmarkStart w:id="451" w:name="_Toc421195893"/>
      <w:bookmarkStart w:id="452" w:name="_Toc405561340"/>
      <w:bookmarkStart w:id="453" w:name="_Toc396828136"/>
      <w:r>
        <w:rPr>
          <w:color w:val="auto"/>
        </w:rPr>
        <w:t>17.</w:t>
      </w:r>
      <w:r>
        <w:rPr>
          <w:rFonts w:hint="eastAsia"/>
          <w:color w:val="auto"/>
        </w:rPr>
        <w:t>响应文件的密封和标</w:t>
      </w:r>
      <w:bookmarkEnd w:id="428"/>
      <w:bookmarkEnd w:id="429"/>
      <w:bookmarkEnd w:id="430"/>
      <w:bookmarkEnd w:id="431"/>
      <w:r>
        <w:rPr>
          <w:rFonts w:hint="eastAsia"/>
          <w:color w:val="auto"/>
        </w:rPr>
        <w:t>注</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ind w:firstLine="480"/>
        <w:rPr>
          <w:color w:val="auto"/>
        </w:rPr>
      </w:pPr>
      <w:r>
        <w:rPr>
          <w:color w:val="auto"/>
        </w:rPr>
        <w:t xml:space="preserve">17.1 </w:t>
      </w:r>
      <w:r>
        <w:rPr>
          <w:rFonts w:hint="eastAsia"/>
          <w:color w:val="auto"/>
        </w:rPr>
        <w:t>响应人应在响应文件正本和所有副本的封面上注明响应人名称、比选编号、项目名称及分包号（如有分包）。</w:t>
      </w:r>
    </w:p>
    <w:p>
      <w:pPr>
        <w:ind w:firstLine="480"/>
        <w:rPr>
          <w:color w:val="auto"/>
        </w:rPr>
      </w:pPr>
      <w:r>
        <w:rPr>
          <w:color w:val="auto"/>
        </w:rPr>
        <w:t xml:space="preserve">17.2 </w:t>
      </w:r>
      <w:r>
        <w:rPr>
          <w:rFonts w:hint="eastAsia"/>
          <w:color w:val="auto"/>
        </w:rPr>
        <w:t>响应文件正本、所有副本和比选文件要求单独提交的开标一览表、应分别封装于不同的密封袋内，密封袋上应分别标上“正本”、“副本”、“开标一览表”、并注明响应人名称、采购编号、项目名称及分包号（如有分包）。</w:t>
      </w:r>
    </w:p>
    <w:p>
      <w:pPr>
        <w:ind w:firstLine="480"/>
        <w:rPr>
          <w:color w:val="auto"/>
        </w:rPr>
      </w:pPr>
      <w:r>
        <w:rPr>
          <w:color w:val="auto"/>
        </w:rPr>
        <w:t xml:space="preserve">17.3 </w:t>
      </w:r>
      <w:r>
        <w:rPr>
          <w:rFonts w:hint="eastAsia"/>
          <w:color w:val="auto"/>
        </w:rPr>
        <w:t>所有外层密封袋的封口处应粘贴牢固，并加盖密封章（响应人印章）。</w:t>
      </w:r>
    </w:p>
    <w:p>
      <w:pPr>
        <w:pStyle w:val="5"/>
        <w:rPr>
          <w:color w:val="auto"/>
        </w:rPr>
      </w:pPr>
      <w:bookmarkStart w:id="454" w:name="_Toc183582227"/>
      <w:bookmarkStart w:id="455" w:name="_Toc183682364"/>
      <w:bookmarkStart w:id="456" w:name="_Toc426387917"/>
      <w:bookmarkStart w:id="457" w:name="_Toc361753957"/>
      <w:bookmarkStart w:id="458" w:name="_Toc513216368"/>
      <w:bookmarkStart w:id="459" w:name="_Toc396828137"/>
      <w:bookmarkStart w:id="460" w:name="_Toc429917394"/>
      <w:bookmarkStart w:id="461" w:name="_Toc429918064"/>
      <w:bookmarkStart w:id="462" w:name="_Toc513635018"/>
      <w:bookmarkStart w:id="463" w:name="_Toc421284551"/>
      <w:bookmarkStart w:id="464" w:name="_Toc14429"/>
      <w:bookmarkStart w:id="465" w:name="_Toc467156089"/>
      <w:bookmarkStart w:id="466" w:name="_Toc467155999"/>
      <w:bookmarkStart w:id="467" w:name="_Toc420494710"/>
      <w:bookmarkStart w:id="468" w:name="_Toc361754269"/>
      <w:bookmarkStart w:id="469" w:name="_Toc420499360"/>
      <w:bookmarkStart w:id="470" w:name="_Toc369265517"/>
      <w:bookmarkStart w:id="471" w:name="_Toc384308487"/>
      <w:bookmarkStart w:id="472" w:name="_Toc19873"/>
      <w:bookmarkStart w:id="473" w:name="_Toc405561341"/>
      <w:bookmarkStart w:id="474" w:name="_Toc217446054"/>
      <w:bookmarkStart w:id="475" w:name="_Toc421195894"/>
      <w:bookmarkStart w:id="476" w:name="_Toc423338615"/>
      <w:bookmarkStart w:id="477" w:name="_Toc404679687"/>
      <w:r>
        <w:rPr>
          <w:color w:val="auto"/>
        </w:rPr>
        <w:t>18</w:t>
      </w:r>
      <w:r>
        <w:rPr>
          <w:rFonts w:hint="eastAsia"/>
          <w:color w:val="auto"/>
        </w:rPr>
        <w:t>.响应文件的</w:t>
      </w:r>
      <w:bookmarkEnd w:id="454"/>
      <w:bookmarkEnd w:id="455"/>
      <w:r>
        <w:rPr>
          <w:rFonts w:hint="eastAsia"/>
          <w:color w:val="auto"/>
        </w:rPr>
        <w:t>递交</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ind w:firstLine="480"/>
        <w:rPr>
          <w:color w:val="auto"/>
        </w:rPr>
      </w:pPr>
      <w:r>
        <w:rPr>
          <w:color w:val="auto"/>
        </w:rPr>
        <w:t xml:space="preserve">18.1 </w:t>
      </w:r>
      <w:r>
        <w:rPr>
          <w:rFonts w:hint="eastAsia"/>
          <w:color w:val="auto"/>
        </w:rPr>
        <w:t>响应人应在比选文件规定的比选截止时间前，将响应文件按比选须知的规定密封后送达开标地点。比选截止时间以后送达的响应文件将被拒绝。</w:t>
      </w:r>
    </w:p>
    <w:p>
      <w:pPr>
        <w:ind w:firstLine="480"/>
        <w:rPr>
          <w:color w:val="auto"/>
        </w:rPr>
      </w:pPr>
      <w:r>
        <w:rPr>
          <w:color w:val="auto"/>
        </w:rPr>
        <w:t>18.</w:t>
      </w:r>
      <w:r>
        <w:rPr>
          <w:rFonts w:hint="eastAsia"/>
          <w:color w:val="auto"/>
        </w:rPr>
        <w:t>2</w:t>
      </w:r>
      <w:r>
        <w:rPr>
          <w:color w:val="auto"/>
        </w:rPr>
        <w:t xml:space="preserve"> </w:t>
      </w:r>
      <w:r>
        <w:rPr>
          <w:rFonts w:hint="eastAsia"/>
          <w:color w:val="auto"/>
        </w:rPr>
        <w:t>本次采购不接受邮寄的响应文件。</w:t>
      </w:r>
    </w:p>
    <w:p>
      <w:pPr>
        <w:pStyle w:val="5"/>
        <w:rPr>
          <w:color w:val="auto"/>
        </w:rPr>
      </w:pPr>
      <w:bookmarkStart w:id="478" w:name="_Toc183582228"/>
      <w:bookmarkStart w:id="479" w:name="_Toc183682365"/>
      <w:bookmarkStart w:id="480" w:name="_Toc423338616"/>
      <w:bookmarkStart w:id="481" w:name="_Toc361753958"/>
      <w:bookmarkStart w:id="482" w:name="_Toc404679688"/>
      <w:bookmarkStart w:id="483" w:name="_Toc420499361"/>
      <w:bookmarkStart w:id="484" w:name="_Toc12099"/>
      <w:bookmarkStart w:id="485" w:name="_Toc429918065"/>
      <w:bookmarkStart w:id="486" w:name="_Toc361754270"/>
      <w:bookmarkStart w:id="487" w:name="_Toc513635019"/>
      <w:bookmarkStart w:id="488" w:name="_Toc429917395"/>
      <w:bookmarkStart w:id="489" w:name="_Toc513216369"/>
      <w:bookmarkStart w:id="490" w:name="_Toc426387918"/>
      <w:bookmarkStart w:id="491" w:name="_Toc421284552"/>
      <w:bookmarkStart w:id="492" w:name="_Toc420494711"/>
      <w:bookmarkStart w:id="493" w:name="_Toc421195895"/>
      <w:bookmarkStart w:id="494" w:name="_Toc369265518"/>
      <w:bookmarkStart w:id="495" w:name="_Toc405561342"/>
      <w:bookmarkStart w:id="496" w:name="_Toc396828138"/>
      <w:bookmarkStart w:id="497" w:name="_Toc384308488"/>
      <w:bookmarkStart w:id="498" w:name="_Toc467156000"/>
      <w:bookmarkStart w:id="499" w:name="_Toc28283"/>
      <w:bookmarkStart w:id="500" w:name="_Toc467156090"/>
      <w:bookmarkStart w:id="501" w:name="_Toc217446055"/>
      <w:r>
        <w:rPr>
          <w:color w:val="auto"/>
        </w:rPr>
        <w:t>19</w:t>
      </w:r>
      <w:r>
        <w:rPr>
          <w:rFonts w:hint="eastAsia"/>
          <w:color w:val="auto"/>
        </w:rPr>
        <w:t>.响应文件的修改和撤</w:t>
      </w:r>
      <w:bookmarkEnd w:id="478"/>
      <w:bookmarkEnd w:id="479"/>
      <w:r>
        <w:rPr>
          <w:rFonts w:hint="eastAsia"/>
          <w:color w:val="auto"/>
        </w:rPr>
        <w:t>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ind w:firstLine="480"/>
        <w:rPr>
          <w:color w:val="auto"/>
        </w:rPr>
      </w:pPr>
      <w:r>
        <w:rPr>
          <w:color w:val="auto"/>
        </w:rPr>
        <w:t xml:space="preserve">19.1 </w:t>
      </w:r>
      <w:r>
        <w:rPr>
          <w:rFonts w:hint="eastAsia"/>
          <w:color w:val="auto"/>
        </w:rPr>
        <w:t>响应人在递交了响应文件后，可以修改或撤回其响应文件，但必须在规定的比选截止时间前，以书面形式通知采购人机构。</w:t>
      </w:r>
    </w:p>
    <w:p>
      <w:pPr>
        <w:ind w:firstLine="480"/>
        <w:rPr>
          <w:color w:val="auto"/>
        </w:rPr>
      </w:pPr>
      <w:r>
        <w:rPr>
          <w:color w:val="auto"/>
        </w:rPr>
        <w:t xml:space="preserve">19.2 </w:t>
      </w:r>
      <w:r>
        <w:rPr>
          <w:rFonts w:hint="eastAsia"/>
          <w:color w:val="auto"/>
        </w:rPr>
        <w:t>响应人的修改书或撤回通知书，应由其法定代表人或授权代表签署并盖单位印章。修改书应按响应人须知表的规定进行密封和标注，并在密封袋上标注“修改”字样。</w:t>
      </w:r>
    </w:p>
    <w:p>
      <w:pPr>
        <w:ind w:firstLine="480"/>
        <w:rPr>
          <w:color w:val="auto"/>
        </w:rPr>
      </w:pPr>
      <w:r>
        <w:rPr>
          <w:color w:val="auto"/>
        </w:rPr>
        <w:t xml:space="preserve">19.3 </w:t>
      </w:r>
      <w:r>
        <w:rPr>
          <w:rFonts w:hint="eastAsia"/>
          <w:color w:val="auto"/>
        </w:rPr>
        <w:t>在比选截止时间之后，响应人不得对其递交的响应文件做任何修改或撤回比选。</w:t>
      </w:r>
    </w:p>
    <w:p>
      <w:pPr>
        <w:ind w:firstLine="480"/>
        <w:rPr>
          <w:color w:val="auto"/>
        </w:rPr>
      </w:pPr>
      <w:r>
        <w:rPr>
          <w:color w:val="auto"/>
        </w:rPr>
        <w:t xml:space="preserve">19.4 </w:t>
      </w:r>
      <w:r>
        <w:rPr>
          <w:rFonts w:hint="eastAsia"/>
          <w:color w:val="auto"/>
        </w:rPr>
        <w:t>响应文件中如果出现计算上或累加上的算术错误，可按以下原则进行修改：</w:t>
      </w:r>
    </w:p>
    <w:p>
      <w:pPr>
        <w:ind w:firstLine="480"/>
        <w:rPr>
          <w:color w:val="auto"/>
        </w:rPr>
      </w:pPr>
      <w:r>
        <w:rPr>
          <w:rFonts w:hint="eastAsia"/>
          <w:color w:val="auto"/>
        </w:rPr>
        <w:t>（</w:t>
      </w:r>
      <w:r>
        <w:rPr>
          <w:color w:val="auto"/>
        </w:rPr>
        <w:t>1</w:t>
      </w:r>
      <w:r>
        <w:rPr>
          <w:rFonts w:hint="eastAsia"/>
          <w:color w:val="auto"/>
        </w:rPr>
        <w:t>）用数字表示的金额和用文字表示的金额不一致，应以文字表示的金额为准。</w:t>
      </w:r>
    </w:p>
    <w:p>
      <w:pPr>
        <w:ind w:firstLine="480"/>
        <w:rPr>
          <w:color w:val="auto"/>
        </w:rPr>
      </w:pPr>
      <w:r>
        <w:rPr>
          <w:rFonts w:hint="eastAsia"/>
          <w:color w:val="auto"/>
        </w:rPr>
        <w:t>（</w:t>
      </w:r>
      <w:r>
        <w:rPr>
          <w:color w:val="auto"/>
        </w:rPr>
        <w:t>2</w:t>
      </w:r>
      <w:r>
        <w:rPr>
          <w:rFonts w:hint="eastAsia"/>
          <w:color w:val="auto"/>
        </w:rPr>
        <w:t>）单价和数量的乘积与总价不一致时，以单价为准，并修正总价。</w:t>
      </w:r>
    </w:p>
    <w:p>
      <w:pPr>
        <w:ind w:firstLine="480"/>
        <w:rPr>
          <w:color w:val="auto"/>
        </w:rPr>
      </w:pPr>
      <w:r>
        <w:rPr>
          <w:rFonts w:hint="eastAsia"/>
          <w:color w:val="auto"/>
        </w:rPr>
        <w:t>（</w:t>
      </w:r>
      <w:r>
        <w:rPr>
          <w:color w:val="auto"/>
        </w:rPr>
        <w:t>3</w:t>
      </w:r>
      <w:r>
        <w:rPr>
          <w:rFonts w:hint="eastAsia"/>
          <w:color w:val="auto"/>
        </w:rPr>
        <w:t>）单价金额小数点有明显错误的，以总价为准，修正单价。</w:t>
      </w:r>
    </w:p>
    <w:p>
      <w:pPr>
        <w:ind w:firstLine="480"/>
        <w:rPr>
          <w:color w:val="auto"/>
        </w:rPr>
      </w:pPr>
      <w:r>
        <w:rPr>
          <w:rFonts w:hint="eastAsia"/>
          <w:color w:val="auto"/>
        </w:rPr>
        <w:t>按上述修正错误的方法调整的比选报价应对响应人具有约束力。如果响应人不接受修正后的价格，其比选将被拒绝。</w:t>
      </w:r>
    </w:p>
    <w:p>
      <w:pPr>
        <w:pStyle w:val="4"/>
        <w:rPr>
          <w:color w:val="auto"/>
        </w:rPr>
      </w:pPr>
      <w:bookmarkStart w:id="502" w:name="_Toc77400782"/>
      <w:bookmarkStart w:id="503" w:name="_Toc513635020"/>
      <w:bookmarkStart w:id="504" w:name="_Toc513216370"/>
      <w:bookmarkStart w:id="505" w:name="_Toc217446056"/>
      <w:bookmarkStart w:id="506" w:name="_Toc183582231"/>
      <w:bookmarkStart w:id="507" w:name="_Toc183682368"/>
      <w:bookmarkStart w:id="508" w:name="_Toc89075878"/>
      <w:bookmarkStart w:id="509" w:name="_Toc28244"/>
      <w:r>
        <w:rPr>
          <w:rFonts w:hint="eastAsia"/>
          <w:color w:val="auto"/>
        </w:rPr>
        <w:t>五、开标和成交</w:t>
      </w:r>
      <w:bookmarkEnd w:id="502"/>
      <w:bookmarkEnd w:id="503"/>
      <w:bookmarkEnd w:id="504"/>
      <w:bookmarkEnd w:id="505"/>
      <w:bookmarkEnd w:id="506"/>
      <w:bookmarkEnd w:id="507"/>
      <w:bookmarkEnd w:id="508"/>
      <w:bookmarkEnd w:id="509"/>
    </w:p>
    <w:p>
      <w:pPr>
        <w:pStyle w:val="5"/>
        <w:rPr>
          <w:color w:val="auto"/>
        </w:rPr>
      </w:pPr>
      <w:bookmarkStart w:id="510" w:name="_Toc513635021"/>
      <w:bookmarkStart w:id="511" w:name="_Toc183682369"/>
      <w:bookmarkStart w:id="512" w:name="_Toc423338618"/>
      <w:bookmarkStart w:id="513" w:name="_Toc361754272"/>
      <w:bookmarkStart w:id="514" w:name="_Toc183582232"/>
      <w:bookmarkStart w:id="515" w:name="_Toc429917397"/>
      <w:bookmarkStart w:id="516" w:name="_Toc429918067"/>
      <w:bookmarkStart w:id="517" w:name="_Toc467156002"/>
      <w:bookmarkStart w:id="518" w:name="_Toc23871"/>
      <w:bookmarkStart w:id="519" w:name="_Toc405561344"/>
      <w:bookmarkStart w:id="520" w:name="_Toc8376"/>
      <w:bookmarkStart w:id="521" w:name="_Toc384308490"/>
      <w:bookmarkStart w:id="522" w:name="_Toc420499363"/>
      <w:bookmarkStart w:id="523" w:name="_Toc467156092"/>
      <w:bookmarkStart w:id="524" w:name="_Toc426387920"/>
      <w:bookmarkStart w:id="525" w:name="_Toc369265520"/>
      <w:bookmarkStart w:id="526" w:name="_Toc396828140"/>
      <w:bookmarkStart w:id="527" w:name="_Toc420494713"/>
      <w:bookmarkStart w:id="528" w:name="_Toc404679690"/>
      <w:bookmarkStart w:id="529" w:name="_Toc513216371"/>
      <w:bookmarkStart w:id="530" w:name="_Toc217446057"/>
      <w:bookmarkStart w:id="531" w:name="_Toc361753960"/>
      <w:bookmarkStart w:id="532" w:name="_Toc421284554"/>
      <w:bookmarkStart w:id="533" w:name="_Toc421195897"/>
      <w:r>
        <w:rPr>
          <w:color w:val="auto"/>
        </w:rPr>
        <w:t>20</w:t>
      </w:r>
      <w:r>
        <w:rPr>
          <w:rFonts w:hint="eastAsia"/>
          <w:color w:val="auto"/>
        </w:rPr>
        <w:t>.开标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ind w:firstLine="480"/>
        <w:rPr>
          <w:b/>
          <w:bCs/>
          <w:color w:val="auto"/>
        </w:rPr>
      </w:pPr>
      <w:r>
        <w:rPr>
          <w:color w:val="auto"/>
        </w:rPr>
        <w:t xml:space="preserve">20.1 </w:t>
      </w:r>
      <w:r>
        <w:rPr>
          <w:rFonts w:hint="eastAsia"/>
          <w:color w:val="auto"/>
        </w:rPr>
        <w:t>采购人在比选文件规定的时间和地点组织公开开标，采购人、响应人须派代表参加并签到以证明其出席。</w:t>
      </w:r>
    </w:p>
    <w:p>
      <w:pPr>
        <w:ind w:firstLine="480"/>
        <w:rPr>
          <w:color w:val="auto"/>
        </w:rPr>
      </w:pPr>
      <w:r>
        <w:rPr>
          <w:color w:val="auto"/>
        </w:rPr>
        <w:t xml:space="preserve">20.2 </w:t>
      </w:r>
      <w:r>
        <w:rPr>
          <w:rFonts w:hint="eastAsia"/>
          <w:color w:val="auto"/>
        </w:rPr>
        <w:t>开标时，采购人可以邀请有关监督管理部门对开标进行现场监督，也可以（非必须）申请公证机构对整个开标程序进行现场公证。</w:t>
      </w:r>
    </w:p>
    <w:p>
      <w:pPr>
        <w:ind w:firstLine="480"/>
        <w:rPr>
          <w:color w:val="auto"/>
        </w:rPr>
      </w:pPr>
      <w:r>
        <w:rPr>
          <w:color w:val="auto"/>
        </w:rPr>
        <w:t xml:space="preserve">20.3 </w:t>
      </w:r>
      <w:r>
        <w:rPr>
          <w:rFonts w:hint="eastAsia"/>
          <w:color w:val="auto"/>
        </w:rPr>
        <w:t>开标时，采购人应让响应人对其响应文件的密封情况进行检查，或申请公证机构检查响应文件的密封情况并公证。经确认无误后，由采购工作人员或公证人员将响应人单独递交的“开标一览表”当众拆封，并由唱标人员按照比选文件规定的内容进行宣读。</w:t>
      </w:r>
    </w:p>
    <w:p>
      <w:pPr>
        <w:ind w:firstLine="480"/>
        <w:rPr>
          <w:color w:val="auto"/>
        </w:rPr>
      </w:pPr>
      <w:r>
        <w:rPr>
          <w:color w:val="auto"/>
        </w:rPr>
        <w:t xml:space="preserve">20.4 </w:t>
      </w:r>
      <w:r>
        <w:rPr>
          <w:rFonts w:hint="eastAsia"/>
          <w:color w:val="auto"/>
        </w:rPr>
        <w:t>开标时，“开标一览表”中的大写金额与小写金额不一致的，以大写金额为准；总价金额与按单价计算的汇总金额不一致的，以单价计算的汇总金额为准；单价金额有明显小数点错误的，以总价为准，并修改单价。</w:t>
      </w:r>
    </w:p>
    <w:p>
      <w:pPr>
        <w:ind w:firstLine="480"/>
        <w:rPr>
          <w:color w:val="auto"/>
        </w:rPr>
      </w:pPr>
      <w:r>
        <w:rPr>
          <w:color w:val="auto"/>
        </w:rPr>
        <w:t xml:space="preserve">20.5 </w:t>
      </w:r>
      <w:r>
        <w:rPr>
          <w:rFonts w:hint="eastAsia"/>
          <w:color w:val="auto"/>
        </w:rPr>
        <w:t>响应文件中有关明细表内容与“开标一览表”不一致的，以“开标一览表”为准。对不同文字文本响应文件的解释发生异议的，以中文文本为准。</w:t>
      </w:r>
    </w:p>
    <w:p>
      <w:pPr>
        <w:ind w:firstLine="480"/>
        <w:rPr>
          <w:color w:val="auto"/>
        </w:rPr>
      </w:pPr>
      <w:r>
        <w:rPr>
          <w:color w:val="auto"/>
        </w:rPr>
        <w:t xml:space="preserve">20.6 </w:t>
      </w:r>
      <w:r>
        <w:rPr>
          <w:rFonts w:hint="eastAsia"/>
          <w:color w:val="auto"/>
        </w:rPr>
        <w:t>所有比选唱标完毕，如响应人代表对宣读的“开标一览表”上的内容有异议的，应在获得开标会主持人同意后当场提出。如确实属于唱标人员宣读错了的，经现场监督人员和公证人员核实后，当场予以更正。</w:t>
      </w:r>
    </w:p>
    <w:p>
      <w:pPr>
        <w:pStyle w:val="5"/>
        <w:rPr>
          <w:color w:val="auto"/>
        </w:rPr>
      </w:pPr>
      <w:bookmarkStart w:id="534" w:name="_Toc421284555"/>
      <w:bookmarkStart w:id="535" w:name="_Toc8659"/>
      <w:bookmarkStart w:id="536" w:name="_Toc467156093"/>
      <w:bookmarkStart w:id="537" w:name="_Toc513216372"/>
      <w:bookmarkStart w:id="538" w:name="_Toc421195898"/>
      <w:bookmarkStart w:id="539" w:name="_Toc31959"/>
      <w:bookmarkStart w:id="540" w:name="_Toc420499364"/>
      <w:bookmarkStart w:id="541" w:name="_Toc420494714"/>
      <w:bookmarkStart w:id="542" w:name="_Toc426387921"/>
      <w:bookmarkStart w:id="543" w:name="_Toc217446058"/>
      <w:bookmarkStart w:id="544" w:name="_Toc423338619"/>
      <w:bookmarkStart w:id="545" w:name="_Toc429917398"/>
      <w:bookmarkStart w:id="546" w:name="_Toc467156003"/>
      <w:bookmarkStart w:id="547" w:name="_Toc361753961"/>
      <w:bookmarkStart w:id="548" w:name="_Toc429918068"/>
      <w:bookmarkStart w:id="549" w:name="_Toc405561345"/>
      <w:bookmarkStart w:id="550" w:name="_Toc369265521"/>
      <w:bookmarkStart w:id="551" w:name="_Toc404679691"/>
      <w:bookmarkStart w:id="552" w:name="_Toc513635022"/>
      <w:bookmarkStart w:id="553" w:name="_Toc384308491"/>
      <w:bookmarkStart w:id="554" w:name="_Toc361754273"/>
      <w:bookmarkStart w:id="555" w:name="_Toc396828141"/>
      <w:r>
        <w:rPr>
          <w:color w:val="auto"/>
        </w:rPr>
        <w:t>21.</w:t>
      </w:r>
      <w:r>
        <w:rPr>
          <w:rFonts w:hint="eastAsia"/>
          <w:color w:val="auto"/>
        </w:rPr>
        <w:t>开标程序</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ind w:firstLine="480"/>
        <w:rPr>
          <w:color w:val="auto"/>
        </w:rPr>
      </w:pPr>
      <w:r>
        <w:rPr>
          <w:rFonts w:hint="eastAsia"/>
          <w:color w:val="auto"/>
        </w:rPr>
        <w:t>开标会主持人按照比选文件规定的开标时间宣布开标，按照规定要求主持开标会。开标将按以下程序进行：</w:t>
      </w:r>
    </w:p>
    <w:p>
      <w:pPr>
        <w:ind w:firstLine="0" w:firstLineChars="0"/>
        <w:rPr>
          <w:color w:val="auto"/>
        </w:rPr>
      </w:pPr>
      <w:r>
        <w:rPr>
          <w:rFonts w:hint="eastAsia"/>
          <w:color w:val="auto"/>
        </w:rPr>
        <w:t>（</w:t>
      </w:r>
      <w:r>
        <w:rPr>
          <w:color w:val="auto"/>
        </w:rPr>
        <w:t>1</w:t>
      </w:r>
      <w:r>
        <w:rPr>
          <w:rFonts w:hint="eastAsia"/>
          <w:color w:val="auto"/>
        </w:rPr>
        <w:t>）宣布开标会开始。开标时间到，主持人宣布开标会开始并致辞，当众宣布参加开标会的现场监督人员、公证人员和主持人、唱标、监标、会议记录等采购工作人员，根据“响应人签到表”宣布参加比选的响应人名单。</w:t>
      </w:r>
    </w:p>
    <w:p>
      <w:pPr>
        <w:ind w:firstLine="0" w:firstLineChars="0"/>
        <w:rPr>
          <w:color w:val="auto"/>
        </w:rPr>
      </w:pPr>
      <w:r>
        <w:rPr>
          <w:rFonts w:hint="eastAsia"/>
          <w:color w:val="auto"/>
        </w:rPr>
        <w:t>（</w:t>
      </w:r>
      <w:r>
        <w:rPr>
          <w:color w:val="auto"/>
        </w:rPr>
        <w:t>2</w:t>
      </w:r>
      <w:r>
        <w:rPr>
          <w:rFonts w:hint="eastAsia"/>
          <w:color w:val="auto"/>
        </w:rPr>
        <w:t>）宣布会场纪律和有关注意事项。</w:t>
      </w:r>
    </w:p>
    <w:p>
      <w:pPr>
        <w:ind w:firstLine="0" w:firstLineChars="0"/>
        <w:rPr>
          <w:color w:val="auto"/>
        </w:rPr>
      </w:pPr>
      <w:r>
        <w:rPr>
          <w:rFonts w:hint="eastAsia"/>
          <w:color w:val="auto"/>
        </w:rPr>
        <w:t>（</w:t>
      </w:r>
      <w:r>
        <w:rPr>
          <w:color w:val="auto"/>
        </w:rPr>
        <w:t>3</w:t>
      </w:r>
      <w:r>
        <w:rPr>
          <w:rFonts w:hint="eastAsia"/>
          <w:color w:val="auto"/>
        </w:rPr>
        <w:t>）当众宣布检查响应文件的密封情况。</w:t>
      </w:r>
    </w:p>
    <w:p>
      <w:pPr>
        <w:ind w:firstLine="0" w:firstLineChars="0"/>
        <w:rPr>
          <w:color w:val="auto"/>
        </w:rPr>
      </w:pPr>
      <w:r>
        <w:rPr>
          <w:rFonts w:hint="eastAsia"/>
          <w:color w:val="auto"/>
        </w:rPr>
        <w:t>（</w:t>
      </w:r>
      <w:r>
        <w:rPr>
          <w:color w:val="auto"/>
        </w:rPr>
        <w:t>4</w:t>
      </w:r>
      <w:r>
        <w:rPr>
          <w:rFonts w:hint="eastAsia"/>
          <w:color w:val="auto"/>
        </w:rPr>
        <w:t>）开标唱标。主持人宣布开标后，由现场工作人员或公证人员按任意顺序对响应人的“开标一览表”当众进行拆封，由唱标人员对其“开标一览表”的项目名称、比选产品的规格型号、比选总价以及响应人名称进行宣读。同时，工作人员将响应人的“开标一览表”投影在屏幕上，并做开标记录。唱标人员在唱标过程中，如遇有字迹不清楚的，应即刻报告主持人，经公证人员和现场监督人员核实后，主持人立即请响应人代表现场进行澄清。</w:t>
      </w:r>
    </w:p>
    <w:p>
      <w:pPr>
        <w:ind w:firstLine="0" w:firstLineChars="0"/>
        <w:rPr>
          <w:color w:val="auto"/>
        </w:rPr>
      </w:pPr>
      <w:r>
        <w:rPr>
          <w:rFonts w:hint="eastAsia"/>
          <w:color w:val="auto"/>
        </w:rPr>
        <w:t>（</w:t>
      </w:r>
      <w:r>
        <w:rPr>
          <w:color w:val="auto"/>
        </w:rPr>
        <w:t>5</w:t>
      </w:r>
      <w:r>
        <w:rPr>
          <w:rFonts w:hint="eastAsia"/>
          <w:color w:val="auto"/>
        </w:rPr>
        <w:t>）致公证词。唱标结束后，主持人请公证人员当众致公证词。</w:t>
      </w:r>
    </w:p>
    <w:p>
      <w:pPr>
        <w:ind w:firstLine="0" w:firstLineChars="0"/>
        <w:rPr>
          <w:color w:val="auto"/>
        </w:rPr>
      </w:pPr>
      <w:r>
        <w:rPr>
          <w:rFonts w:hint="eastAsia"/>
          <w:color w:val="auto"/>
        </w:rPr>
        <w:t>（</w:t>
      </w:r>
      <w:r>
        <w:rPr>
          <w:color w:val="auto"/>
        </w:rPr>
        <w:t>6</w:t>
      </w:r>
      <w:r>
        <w:rPr>
          <w:rFonts w:hint="eastAsia"/>
          <w:color w:val="auto"/>
        </w:rPr>
        <w:t>）宣布开标会结束。主持人宣布开标会结束后，所有响应人代表应立即退场。</w:t>
      </w:r>
    </w:p>
    <w:p>
      <w:pPr>
        <w:pStyle w:val="5"/>
        <w:rPr>
          <w:color w:val="auto"/>
        </w:rPr>
      </w:pPr>
      <w:bookmarkStart w:id="556" w:name="_Toc183582238"/>
      <w:bookmarkStart w:id="557" w:name="_Toc183682375"/>
      <w:bookmarkStart w:id="558" w:name="_Toc467156094"/>
      <w:bookmarkStart w:id="559" w:name="_Toc467156004"/>
      <w:bookmarkStart w:id="560" w:name="_Toc405561346"/>
      <w:bookmarkStart w:id="561" w:name="_Toc423338620"/>
      <w:bookmarkStart w:id="562" w:name="_Toc217446063"/>
      <w:bookmarkStart w:id="563" w:name="_Toc396828142"/>
      <w:bookmarkStart w:id="564" w:name="_Toc426387922"/>
      <w:bookmarkStart w:id="565" w:name="_Toc18925"/>
      <w:bookmarkStart w:id="566" w:name="_Toc421284556"/>
      <w:bookmarkStart w:id="567" w:name="_Toc429917399"/>
      <w:bookmarkStart w:id="568" w:name="_Toc420494715"/>
      <w:bookmarkStart w:id="569" w:name="_Toc429918069"/>
      <w:bookmarkStart w:id="570" w:name="_Toc513635023"/>
      <w:bookmarkStart w:id="571" w:name="_Toc361753962"/>
      <w:bookmarkStart w:id="572" w:name="_Toc421195899"/>
      <w:bookmarkStart w:id="573" w:name="_Toc420499365"/>
      <w:bookmarkStart w:id="574" w:name="_Toc404679692"/>
      <w:bookmarkStart w:id="575" w:name="_Toc361754274"/>
      <w:bookmarkStart w:id="576" w:name="_Toc513216373"/>
      <w:bookmarkStart w:id="577" w:name="_Toc2166"/>
      <w:bookmarkStart w:id="578" w:name="_Toc369265522"/>
      <w:bookmarkStart w:id="579" w:name="_Toc384308492"/>
      <w:r>
        <w:rPr>
          <w:color w:val="auto"/>
        </w:rPr>
        <w:t>22</w:t>
      </w:r>
      <w:r>
        <w:rPr>
          <w:rFonts w:hint="eastAsia"/>
          <w:color w:val="auto"/>
        </w:rPr>
        <w:t>.成交通知</w:t>
      </w:r>
      <w:bookmarkEnd w:id="556"/>
      <w:bookmarkEnd w:id="557"/>
      <w:r>
        <w:rPr>
          <w:rFonts w:hint="eastAsia"/>
          <w:color w:val="auto"/>
        </w:rPr>
        <w:t>书</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ind w:firstLine="480"/>
        <w:rPr>
          <w:color w:val="auto"/>
        </w:rPr>
      </w:pPr>
      <w:r>
        <w:rPr>
          <w:color w:val="auto"/>
        </w:rPr>
        <w:t>22</w:t>
      </w:r>
      <w:r>
        <w:rPr>
          <w:b/>
          <w:bCs/>
          <w:color w:val="auto"/>
        </w:rPr>
        <w:t>.</w:t>
      </w:r>
      <w:r>
        <w:rPr>
          <w:color w:val="auto"/>
        </w:rPr>
        <w:t xml:space="preserve">1 </w:t>
      </w:r>
      <w:r>
        <w:rPr>
          <w:rFonts w:hint="eastAsia"/>
          <w:color w:val="auto"/>
        </w:rPr>
        <w:t>成交通知书为签订采购合同的依据，是合同的有效组成部分。</w:t>
      </w:r>
    </w:p>
    <w:p>
      <w:pPr>
        <w:ind w:firstLine="480"/>
        <w:rPr>
          <w:color w:val="auto"/>
        </w:rPr>
      </w:pPr>
      <w:r>
        <w:rPr>
          <w:color w:val="auto"/>
        </w:rPr>
        <w:t xml:space="preserve">22.2 </w:t>
      </w:r>
      <w:r>
        <w:rPr>
          <w:rFonts w:hint="eastAsia"/>
          <w:color w:val="auto"/>
        </w:rPr>
        <w:t>成交通知书对采购人和成交人均具有法律效力。成交通知书发出后，采购人改变成交结果，或者成交人无正当理由放弃成交的，应当承担相应的法律责任。</w:t>
      </w:r>
    </w:p>
    <w:p>
      <w:pPr>
        <w:ind w:firstLine="480"/>
        <w:rPr>
          <w:color w:val="auto"/>
        </w:rPr>
      </w:pPr>
      <w:r>
        <w:rPr>
          <w:color w:val="auto"/>
        </w:rPr>
        <w:t>22</w:t>
      </w:r>
      <w:r>
        <w:rPr>
          <w:rFonts w:hint="eastAsia"/>
          <w:color w:val="auto"/>
          <w:lang w:eastAsia="zh-CN"/>
        </w:rPr>
        <w:t>.</w:t>
      </w:r>
      <w:r>
        <w:rPr>
          <w:rFonts w:hint="eastAsia"/>
          <w:color w:val="auto"/>
          <w:lang w:val="en-US" w:eastAsia="zh-CN"/>
        </w:rPr>
        <w:t>3</w:t>
      </w:r>
      <w:r>
        <w:rPr>
          <w:rFonts w:hint="eastAsia"/>
          <w:color w:val="auto"/>
        </w:rPr>
        <w:t>成交人的响应文件本应作为无效比选处理或者有采购法律法规规章制度规定的成交无效情形的，采购人在取得有权主体的认定以后，应当宣布发出的成交通知书无效，并收回发出的成交通知书（成交人也应当缴回），依法重新确定成交人或者重新开展采购活动。</w:t>
      </w:r>
    </w:p>
    <w:p>
      <w:pPr>
        <w:widowControl/>
        <w:spacing w:line="240" w:lineRule="auto"/>
        <w:ind w:firstLine="0" w:firstLineChars="0"/>
        <w:jc w:val="left"/>
        <w:rPr>
          <w:rFonts w:ascii="黑体" w:hAnsi="黑体" w:eastAsia="黑体"/>
          <w:b/>
          <w:color w:val="auto"/>
          <w:kern w:val="44"/>
          <w:sz w:val="32"/>
          <w:szCs w:val="32"/>
        </w:rPr>
      </w:pPr>
      <w:bookmarkStart w:id="580" w:name="_Toc513216374"/>
      <w:bookmarkStart w:id="581" w:name="_Toc513635024"/>
      <w:r>
        <w:rPr>
          <w:rFonts w:ascii="黑体" w:hAnsi="黑体"/>
          <w:color w:val="auto"/>
          <w:sz w:val="32"/>
          <w:szCs w:val="32"/>
        </w:rPr>
        <w:br w:type="page"/>
      </w:r>
    </w:p>
    <w:p>
      <w:pPr>
        <w:pStyle w:val="3"/>
        <w:spacing w:line="276" w:lineRule="auto"/>
        <w:ind w:firstLine="643"/>
        <w:rPr>
          <w:rFonts w:ascii="黑体" w:hAnsi="黑体"/>
          <w:color w:val="auto"/>
          <w:sz w:val="32"/>
          <w:szCs w:val="32"/>
        </w:rPr>
      </w:pPr>
      <w:bookmarkStart w:id="582" w:name="_Toc14627"/>
      <w:r>
        <w:rPr>
          <w:rFonts w:hint="eastAsia" w:ascii="黑体" w:hAnsi="黑体"/>
          <w:color w:val="auto"/>
          <w:sz w:val="32"/>
          <w:szCs w:val="32"/>
        </w:rPr>
        <w:t>第三章</w:t>
      </w:r>
      <w:r>
        <w:rPr>
          <w:rFonts w:ascii="黑体" w:hAnsi="黑体"/>
          <w:color w:val="auto"/>
          <w:sz w:val="32"/>
          <w:szCs w:val="32"/>
        </w:rPr>
        <w:t xml:space="preserve"> </w:t>
      </w:r>
      <w:r>
        <w:rPr>
          <w:rFonts w:hint="eastAsia" w:ascii="黑体" w:hAnsi="黑体"/>
          <w:color w:val="auto"/>
          <w:sz w:val="32"/>
          <w:szCs w:val="32"/>
        </w:rPr>
        <w:t>响应文件格式</w:t>
      </w:r>
      <w:bookmarkEnd w:id="0"/>
      <w:bookmarkEnd w:id="1"/>
      <w:bookmarkEnd w:id="2"/>
      <w:bookmarkEnd w:id="3"/>
      <w:bookmarkEnd w:id="4"/>
      <w:bookmarkEnd w:id="5"/>
      <w:bookmarkEnd w:id="6"/>
      <w:bookmarkEnd w:id="7"/>
      <w:bookmarkEnd w:id="8"/>
      <w:bookmarkEnd w:id="9"/>
      <w:bookmarkEnd w:id="580"/>
      <w:bookmarkEnd w:id="581"/>
      <w:bookmarkEnd w:id="582"/>
    </w:p>
    <w:p>
      <w:pPr>
        <w:autoSpaceDE w:val="0"/>
        <w:autoSpaceDN w:val="0"/>
        <w:adjustRightInd w:val="0"/>
        <w:ind w:right="852" w:rightChars="355" w:firstLine="480"/>
        <w:jc w:val="center"/>
        <w:rPr>
          <w:color w:val="auto"/>
          <w:kern w:val="0"/>
          <w:sz w:val="84"/>
          <w:szCs w:val="84"/>
        </w:rPr>
      </w:pPr>
      <w:r>
        <w:rPr>
          <w:color w:val="auto"/>
        </w:rPr>
        <mc:AlternateContent>
          <mc:Choice Requires="wps">
            <w:drawing>
              <wp:anchor distT="0" distB="0" distL="114300" distR="114300" simplePos="0" relativeHeight="251659264" behindDoc="0" locked="0" layoutInCell="1" allowOverlap="1">
                <wp:simplePos x="0" y="0"/>
                <wp:positionH relativeFrom="column">
                  <wp:posOffset>3470275</wp:posOffset>
                </wp:positionH>
                <wp:positionV relativeFrom="paragraph">
                  <wp:posOffset>30480</wp:posOffset>
                </wp:positionV>
                <wp:extent cx="1714500" cy="495300"/>
                <wp:effectExtent l="0" t="0" r="19050" b="190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pPr>
                              <w:ind w:firstLine="0" w:firstLineChars="0"/>
                              <w:jc w:val="center"/>
                              <w:rPr>
                                <w:b/>
                                <w:sz w:val="144"/>
                                <w:szCs w:val="44"/>
                              </w:rPr>
                            </w:pPr>
                            <w:r>
                              <w:rPr>
                                <w:rFonts w:hint="eastAsia"/>
                                <w:bCs/>
                                <w:sz w:val="40"/>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73.25pt;margin-top:2.4pt;height:39pt;width:135pt;z-index:251659264;mso-width-relative:page;mso-height-relative:page;" fillcolor="#FFFFFF" filled="t" stroked="t" coordsize="21600,21600" o:gfxdata="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gIVtjWAAAACAEAAA8AAAAAAAAAAQAgAAAAIgAAAGRycy9kb3ducmV2LnhtbFBLAQIUABQA&#10;AAAIAIdO4kDxY0oqKwIAAH0EAAAOAAAAAAAAAAEAIAAAACUBAABkcnMvZTJvRG9jLnhtbFBLBQYA&#10;AAAABgAGAFkBAADCBQAAAAA=&#10;">
                <v:fill on="t" focussize="0,0"/>
                <v:stroke color="#000000" miterlimit="8" joinstyle="miter"/>
                <v:imagedata o:title=""/>
                <o:lock v:ext="edit" aspectratio="f"/>
                <v:textbox>
                  <w:txbxContent>
                    <w:p>
                      <w:pPr>
                        <w:ind w:firstLine="0" w:firstLineChars="0"/>
                        <w:jc w:val="center"/>
                        <w:rPr>
                          <w:b/>
                          <w:sz w:val="144"/>
                          <w:szCs w:val="44"/>
                        </w:rPr>
                      </w:pPr>
                      <w:r>
                        <w:rPr>
                          <w:rFonts w:hint="eastAsia"/>
                          <w:bCs/>
                          <w:sz w:val="40"/>
                        </w:rPr>
                        <w:t>正本或副本</w:t>
                      </w:r>
                    </w:p>
                  </w:txbxContent>
                </v:textbox>
              </v:rect>
            </w:pict>
          </mc:Fallback>
        </mc:AlternateContent>
      </w:r>
    </w:p>
    <w:p>
      <w:pPr>
        <w:autoSpaceDE w:val="0"/>
        <w:autoSpaceDN w:val="0"/>
        <w:adjustRightInd w:val="0"/>
        <w:ind w:right="852" w:rightChars="355" w:firstLine="0" w:firstLineChars="0"/>
        <w:jc w:val="center"/>
        <w:rPr>
          <w:color w:val="auto"/>
          <w:kern w:val="0"/>
          <w:sz w:val="94"/>
          <w:szCs w:val="94"/>
        </w:rPr>
      </w:pPr>
      <w:r>
        <w:rPr>
          <w:rFonts w:hint="eastAsia"/>
          <w:color w:val="auto"/>
          <w:kern w:val="0"/>
          <w:sz w:val="94"/>
          <w:szCs w:val="94"/>
        </w:rPr>
        <w:t>响</w:t>
      </w:r>
      <w:r>
        <w:rPr>
          <w:color w:val="auto"/>
          <w:kern w:val="0"/>
          <w:sz w:val="94"/>
          <w:szCs w:val="94"/>
        </w:rPr>
        <w:t xml:space="preserve">  </w:t>
      </w:r>
      <w:r>
        <w:rPr>
          <w:rFonts w:hint="eastAsia"/>
          <w:color w:val="auto"/>
          <w:kern w:val="0"/>
          <w:sz w:val="94"/>
          <w:szCs w:val="94"/>
        </w:rPr>
        <w:t>应</w:t>
      </w:r>
      <w:r>
        <w:rPr>
          <w:color w:val="auto"/>
          <w:kern w:val="0"/>
          <w:sz w:val="94"/>
          <w:szCs w:val="94"/>
        </w:rPr>
        <w:t xml:space="preserve">  </w:t>
      </w:r>
      <w:r>
        <w:rPr>
          <w:rFonts w:hint="eastAsia"/>
          <w:color w:val="auto"/>
          <w:kern w:val="0"/>
          <w:sz w:val="94"/>
          <w:szCs w:val="94"/>
        </w:rPr>
        <w:t>文</w:t>
      </w:r>
      <w:r>
        <w:rPr>
          <w:color w:val="auto"/>
          <w:kern w:val="0"/>
          <w:sz w:val="94"/>
          <w:szCs w:val="94"/>
        </w:rPr>
        <w:t xml:space="preserve">  </w:t>
      </w:r>
      <w:r>
        <w:rPr>
          <w:rFonts w:hint="eastAsia"/>
          <w:color w:val="auto"/>
          <w:kern w:val="0"/>
          <w:sz w:val="94"/>
          <w:szCs w:val="94"/>
        </w:rPr>
        <w:t>件</w:t>
      </w:r>
    </w:p>
    <w:p>
      <w:pPr>
        <w:autoSpaceDE w:val="0"/>
        <w:autoSpaceDN w:val="0"/>
        <w:adjustRightInd w:val="0"/>
        <w:ind w:right="852" w:rightChars="355" w:firstLine="720"/>
        <w:rPr>
          <w:color w:val="auto"/>
          <w:kern w:val="0"/>
          <w:sz w:val="36"/>
          <w:szCs w:val="36"/>
        </w:rPr>
      </w:pPr>
    </w:p>
    <w:p>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项目编号：</w:t>
      </w:r>
      <w:r>
        <w:rPr>
          <w:color w:val="auto"/>
          <w:kern w:val="0"/>
          <w:sz w:val="36"/>
          <w:szCs w:val="36"/>
          <w:u w:val="single"/>
        </w:rPr>
        <w:t xml:space="preserve">                         </w:t>
      </w:r>
    </w:p>
    <w:p>
      <w:pPr>
        <w:autoSpaceDE w:val="0"/>
        <w:autoSpaceDN w:val="0"/>
        <w:adjustRightInd w:val="0"/>
        <w:ind w:right="852" w:rightChars="355" w:firstLine="720"/>
        <w:rPr>
          <w:color w:val="auto"/>
          <w:kern w:val="0"/>
          <w:sz w:val="36"/>
          <w:szCs w:val="36"/>
          <w:u w:val="single"/>
        </w:rPr>
      </w:pPr>
    </w:p>
    <w:p>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项目名称：</w:t>
      </w:r>
      <w:r>
        <w:rPr>
          <w:color w:val="auto"/>
          <w:kern w:val="0"/>
          <w:sz w:val="36"/>
          <w:szCs w:val="36"/>
          <w:u w:val="single"/>
        </w:rPr>
        <w:t xml:space="preserve">                         </w:t>
      </w:r>
    </w:p>
    <w:p>
      <w:pPr>
        <w:autoSpaceDE w:val="0"/>
        <w:autoSpaceDN w:val="0"/>
        <w:adjustRightInd w:val="0"/>
        <w:ind w:right="852" w:rightChars="355" w:firstLine="720"/>
        <w:rPr>
          <w:color w:val="auto"/>
          <w:kern w:val="0"/>
          <w:sz w:val="36"/>
          <w:szCs w:val="36"/>
          <w:u w:val="single"/>
        </w:rPr>
      </w:pPr>
    </w:p>
    <w:p>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供应商（加盖公章）：</w:t>
      </w:r>
      <w:r>
        <w:rPr>
          <w:color w:val="auto"/>
          <w:kern w:val="0"/>
          <w:sz w:val="36"/>
          <w:szCs w:val="36"/>
          <w:u w:val="single"/>
        </w:rPr>
        <w:t xml:space="preserve">                </w:t>
      </w:r>
    </w:p>
    <w:p>
      <w:pPr>
        <w:autoSpaceDE w:val="0"/>
        <w:autoSpaceDN w:val="0"/>
        <w:adjustRightInd w:val="0"/>
        <w:ind w:right="852" w:rightChars="355" w:firstLine="720"/>
        <w:rPr>
          <w:color w:val="auto"/>
          <w:kern w:val="0"/>
          <w:sz w:val="36"/>
          <w:szCs w:val="36"/>
        </w:rPr>
      </w:pPr>
    </w:p>
    <w:p>
      <w:pPr>
        <w:autoSpaceDE w:val="0"/>
        <w:autoSpaceDN w:val="0"/>
        <w:adjustRightInd w:val="0"/>
        <w:ind w:right="852" w:rightChars="355" w:firstLine="720"/>
        <w:rPr>
          <w:color w:val="auto"/>
          <w:kern w:val="0"/>
          <w:sz w:val="36"/>
          <w:szCs w:val="36"/>
          <w:u w:val="single"/>
        </w:rPr>
      </w:pPr>
      <w:r>
        <w:rPr>
          <w:rFonts w:hint="eastAsia"/>
          <w:color w:val="auto"/>
          <w:kern w:val="0"/>
          <w:sz w:val="36"/>
          <w:szCs w:val="36"/>
        </w:rPr>
        <w:t>法定代表人或其委托代理人签字：</w:t>
      </w:r>
      <w:r>
        <w:rPr>
          <w:color w:val="auto"/>
          <w:kern w:val="0"/>
          <w:sz w:val="36"/>
          <w:szCs w:val="36"/>
          <w:u w:val="single"/>
        </w:rPr>
        <w:t xml:space="preserve">       </w:t>
      </w:r>
    </w:p>
    <w:p>
      <w:pPr>
        <w:ind w:firstLine="720"/>
        <w:jc w:val="right"/>
        <w:rPr>
          <w:color w:val="auto"/>
          <w:kern w:val="0"/>
          <w:sz w:val="36"/>
          <w:szCs w:val="36"/>
        </w:rPr>
      </w:pPr>
    </w:p>
    <w:p>
      <w:pPr>
        <w:ind w:firstLine="720"/>
        <w:jc w:val="center"/>
        <w:rPr>
          <w:color w:val="auto"/>
          <w:kern w:val="0"/>
          <w:sz w:val="36"/>
          <w:szCs w:val="36"/>
        </w:rPr>
      </w:pPr>
    </w:p>
    <w:p>
      <w:pPr>
        <w:ind w:firstLine="720"/>
        <w:jc w:val="center"/>
        <w:rPr>
          <w:color w:val="auto"/>
          <w:kern w:val="0"/>
          <w:sz w:val="36"/>
          <w:szCs w:val="36"/>
        </w:rPr>
      </w:pPr>
    </w:p>
    <w:p>
      <w:pPr>
        <w:ind w:firstLine="720"/>
        <w:jc w:val="center"/>
        <w:rPr>
          <w:color w:val="auto"/>
          <w:kern w:val="0"/>
          <w:sz w:val="36"/>
          <w:szCs w:val="36"/>
        </w:rPr>
      </w:pPr>
      <w:r>
        <w:rPr>
          <w:rFonts w:hint="eastAsia"/>
          <w:color w:val="auto"/>
          <w:kern w:val="0"/>
          <w:sz w:val="36"/>
          <w:szCs w:val="36"/>
        </w:rPr>
        <w:t>日期：</w:t>
      </w:r>
      <w:r>
        <w:rPr>
          <w:color w:val="auto"/>
          <w:kern w:val="0"/>
          <w:sz w:val="36"/>
          <w:szCs w:val="36"/>
        </w:rPr>
        <w:t xml:space="preserve">   </w:t>
      </w:r>
      <w:r>
        <w:rPr>
          <w:rFonts w:hint="eastAsia"/>
          <w:color w:val="auto"/>
          <w:kern w:val="0"/>
          <w:sz w:val="36"/>
          <w:szCs w:val="36"/>
        </w:rPr>
        <w:t>年</w:t>
      </w:r>
      <w:r>
        <w:rPr>
          <w:color w:val="auto"/>
          <w:kern w:val="0"/>
          <w:sz w:val="36"/>
          <w:szCs w:val="36"/>
        </w:rPr>
        <w:t xml:space="preserve">    </w:t>
      </w:r>
      <w:r>
        <w:rPr>
          <w:rFonts w:hint="eastAsia"/>
          <w:color w:val="auto"/>
          <w:kern w:val="0"/>
          <w:sz w:val="36"/>
          <w:szCs w:val="36"/>
        </w:rPr>
        <w:t>月</w:t>
      </w:r>
      <w:r>
        <w:rPr>
          <w:color w:val="auto"/>
          <w:kern w:val="0"/>
          <w:sz w:val="36"/>
          <w:szCs w:val="36"/>
        </w:rPr>
        <w:t xml:space="preserve">    </w:t>
      </w:r>
      <w:r>
        <w:rPr>
          <w:rFonts w:hint="eastAsia"/>
          <w:color w:val="auto"/>
          <w:kern w:val="0"/>
          <w:sz w:val="36"/>
          <w:szCs w:val="36"/>
        </w:rPr>
        <w:t>日</w:t>
      </w:r>
    </w:p>
    <w:p>
      <w:pPr>
        <w:ind w:firstLine="480"/>
        <w:rPr>
          <w:color w:val="auto"/>
        </w:rPr>
      </w:pPr>
    </w:p>
    <w:p>
      <w:pPr>
        <w:widowControl/>
        <w:ind w:firstLine="480"/>
        <w:jc w:val="left"/>
        <w:rPr>
          <w:rFonts w:ascii="Arial" w:hAnsi="Arial" w:eastAsia="黑体"/>
          <w:b/>
          <w:color w:val="auto"/>
          <w:sz w:val="32"/>
          <w:szCs w:val="20"/>
        </w:rPr>
      </w:pPr>
      <w:bookmarkStart w:id="583" w:name="_Toc11151"/>
      <w:bookmarkStart w:id="584" w:name="_Toc217446082"/>
      <w:r>
        <w:rPr>
          <w:color w:val="auto"/>
        </w:rPr>
        <w:br w:type="page"/>
      </w:r>
    </w:p>
    <w:p>
      <w:pPr>
        <w:pStyle w:val="4"/>
        <w:rPr>
          <w:color w:val="auto"/>
        </w:rPr>
      </w:pPr>
      <w:bookmarkStart w:id="585" w:name="_Toc513635025"/>
      <w:bookmarkStart w:id="586" w:name="_Toc513216375"/>
      <w:bookmarkStart w:id="587" w:name="_Toc24992"/>
      <w:r>
        <w:rPr>
          <w:rFonts w:hint="eastAsia"/>
          <w:color w:val="auto"/>
        </w:rPr>
        <w:t>一、响</w:t>
      </w:r>
      <w:r>
        <w:rPr>
          <w:color w:val="auto"/>
        </w:rPr>
        <w:t xml:space="preserve"> </w:t>
      </w:r>
      <w:r>
        <w:rPr>
          <w:rFonts w:hint="eastAsia"/>
          <w:color w:val="auto"/>
        </w:rPr>
        <w:t>应</w:t>
      </w:r>
      <w:r>
        <w:rPr>
          <w:color w:val="auto"/>
        </w:rPr>
        <w:t xml:space="preserve"> </w:t>
      </w:r>
      <w:r>
        <w:rPr>
          <w:rFonts w:hint="eastAsia"/>
          <w:color w:val="auto"/>
        </w:rPr>
        <w:t>函</w:t>
      </w:r>
      <w:bookmarkEnd w:id="583"/>
      <w:bookmarkEnd w:id="584"/>
      <w:bookmarkEnd w:id="585"/>
      <w:bookmarkEnd w:id="586"/>
      <w:bookmarkEnd w:id="587"/>
    </w:p>
    <w:p>
      <w:pPr>
        <w:ind w:firstLine="0" w:firstLineChars="0"/>
        <w:rPr>
          <w:color w:val="auto"/>
        </w:rPr>
      </w:pPr>
      <w:r>
        <w:rPr>
          <w:color w:val="auto"/>
        </w:rPr>
        <w:t>__________________</w:t>
      </w:r>
      <w:r>
        <w:rPr>
          <w:rFonts w:hint="eastAsia"/>
          <w:color w:val="auto"/>
        </w:rPr>
        <w:t>：</w:t>
      </w:r>
    </w:p>
    <w:p>
      <w:pPr>
        <w:ind w:firstLine="480"/>
        <w:rPr>
          <w:color w:val="auto"/>
        </w:rPr>
      </w:pPr>
      <w:r>
        <w:rPr>
          <w:rFonts w:hint="eastAsia"/>
          <w:color w:val="auto"/>
        </w:rPr>
        <w:t>我方全面研究了</w:t>
      </w:r>
      <w:r>
        <w:rPr>
          <w:color w:val="auto"/>
        </w:rPr>
        <w:t xml:space="preserve"> </w:t>
      </w:r>
      <w:r>
        <w:rPr>
          <w:rFonts w:hint="eastAsia"/>
          <w:color w:val="auto"/>
        </w:rPr>
        <w:t>“</w:t>
      </w:r>
      <w:r>
        <w:rPr>
          <w:color w:val="auto"/>
          <w:u w:val="single"/>
        </w:rPr>
        <w:t xml:space="preserve">               </w:t>
      </w:r>
      <w:r>
        <w:rPr>
          <w:rFonts w:hint="eastAsia"/>
          <w:color w:val="auto"/>
        </w:rPr>
        <w:t>”项目比选文件（采购项目编号</w:t>
      </w:r>
      <w:r>
        <w:rPr>
          <w:color w:val="auto"/>
          <w:u w:val="single"/>
        </w:rPr>
        <w:t xml:space="preserve">        </w:t>
      </w:r>
      <w:r>
        <w:rPr>
          <w:rFonts w:hint="eastAsia"/>
          <w:color w:val="auto"/>
        </w:rPr>
        <w:t>），决定参加贵单位组织的本项目比选。我方授权</w:t>
      </w:r>
      <w:r>
        <w:rPr>
          <w:color w:val="auto"/>
          <w:u w:val="single"/>
        </w:rPr>
        <w:t xml:space="preserve">                  </w:t>
      </w:r>
      <w:r>
        <w:rPr>
          <w:rFonts w:hint="eastAsia"/>
          <w:color w:val="auto"/>
        </w:rPr>
        <w:t>（姓名、职务）代表我方</w:t>
      </w:r>
      <w:r>
        <w:rPr>
          <w:color w:val="auto"/>
          <w:u w:val="single"/>
        </w:rPr>
        <w:t xml:space="preserve">                    </w:t>
      </w:r>
      <w:r>
        <w:rPr>
          <w:rFonts w:hint="eastAsia"/>
          <w:color w:val="auto"/>
        </w:rPr>
        <w:t>（比选单位的名称）全权处理本项目比选的有关事宜。</w:t>
      </w:r>
    </w:p>
    <w:p>
      <w:pPr>
        <w:ind w:firstLine="480"/>
        <w:rPr>
          <w:color w:val="auto"/>
        </w:rPr>
      </w:pPr>
      <w:r>
        <w:rPr>
          <w:color w:val="auto"/>
        </w:rPr>
        <w:t>1</w:t>
      </w:r>
      <w:r>
        <w:rPr>
          <w:rFonts w:hint="eastAsia"/>
          <w:color w:val="auto"/>
        </w:rPr>
        <w:t>、我方自愿按照比选文件规定的各项要求向采购人提供所需货物</w:t>
      </w:r>
      <w:r>
        <w:rPr>
          <w:color w:val="auto"/>
        </w:rPr>
        <w:t>/</w:t>
      </w:r>
      <w:r>
        <w:rPr>
          <w:rFonts w:hint="eastAsia"/>
          <w:color w:val="auto"/>
        </w:rPr>
        <w:t>服务，总比选报价为人民币</w:t>
      </w:r>
      <w:r>
        <w:rPr>
          <w:color w:val="auto"/>
          <w:u w:val="single"/>
        </w:rPr>
        <w:t xml:space="preserve">            </w:t>
      </w:r>
      <w:r>
        <w:rPr>
          <w:rFonts w:hint="eastAsia"/>
          <w:color w:val="auto"/>
        </w:rPr>
        <w:t>元（大写：</w:t>
      </w:r>
      <w:r>
        <w:rPr>
          <w:color w:val="auto"/>
          <w:u w:val="single"/>
        </w:rPr>
        <w:t xml:space="preserve">                           </w:t>
      </w:r>
      <w:r>
        <w:rPr>
          <w:rFonts w:hint="eastAsia"/>
          <w:color w:val="auto"/>
        </w:rPr>
        <w:t>）。</w:t>
      </w:r>
    </w:p>
    <w:p>
      <w:pPr>
        <w:ind w:firstLine="480"/>
        <w:rPr>
          <w:color w:val="auto"/>
        </w:rPr>
      </w:pPr>
      <w:r>
        <w:rPr>
          <w:color w:val="auto"/>
        </w:rPr>
        <w:t>2</w:t>
      </w:r>
      <w:r>
        <w:rPr>
          <w:rFonts w:hint="eastAsia"/>
          <w:color w:val="auto"/>
        </w:rPr>
        <w:t>、一旦我方成交，我方将严格履行合同规定的责任和义务，保证于合同签字生效后</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日内完成应尽义务，并交付采购人验收、使用。</w:t>
      </w:r>
    </w:p>
    <w:p>
      <w:pPr>
        <w:ind w:firstLine="480"/>
        <w:rPr>
          <w:color w:val="auto"/>
        </w:rPr>
      </w:pPr>
      <w:r>
        <w:rPr>
          <w:color w:val="auto"/>
        </w:rPr>
        <w:t>3</w:t>
      </w:r>
      <w:r>
        <w:rPr>
          <w:rFonts w:hint="eastAsia"/>
          <w:color w:val="auto"/>
        </w:rPr>
        <w:t>、我方为本项目提交的响应文件正本一份，副本</w:t>
      </w:r>
      <w:r>
        <w:rPr>
          <w:rFonts w:hint="eastAsia" w:ascii="宋体" w:hAnsi="宋体"/>
          <w:color w:val="auto"/>
          <w:u w:val="single"/>
        </w:rPr>
        <w:t xml:space="preserve">    </w:t>
      </w:r>
      <w:r>
        <w:rPr>
          <w:rFonts w:hint="eastAsia"/>
          <w:color w:val="auto"/>
        </w:rPr>
        <w:t>份，用于开标唱标的“开标一览表”壹份。</w:t>
      </w:r>
    </w:p>
    <w:p>
      <w:pPr>
        <w:ind w:firstLine="480"/>
        <w:rPr>
          <w:color w:val="auto"/>
        </w:rPr>
      </w:pPr>
      <w:r>
        <w:rPr>
          <w:color w:val="auto"/>
        </w:rPr>
        <w:t>4</w:t>
      </w:r>
      <w:r>
        <w:rPr>
          <w:rFonts w:hint="eastAsia"/>
          <w:color w:val="auto"/>
        </w:rPr>
        <w:t>、我方愿意提供贵单位可能另外要求的，与比选有关的文件资料，并保证我方已提供和将要提供的文件资料是真实、准确的。</w:t>
      </w:r>
    </w:p>
    <w:p>
      <w:pPr>
        <w:ind w:firstLine="480"/>
        <w:rPr>
          <w:color w:val="auto"/>
        </w:rPr>
      </w:pPr>
      <w:r>
        <w:rPr>
          <w:color w:val="auto"/>
        </w:rPr>
        <w:t>5</w:t>
      </w:r>
      <w:r>
        <w:rPr>
          <w:rFonts w:hint="eastAsia"/>
          <w:color w:val="auto"/>
        </w:rPr>
        <w:t>、我方完全理解采购人不一定将合同授予最低报价的响应人的行为。</w:t>
      </w:r>
    </w:p>
    <w:p>
      <w:pPr>
        <w:ind w:firstLine="480"/>
        <w:rPr>
          <w:color w:val="auto"/>
        </w:rPr>
      </w:pPr>
      <w:r>
        <w:rPr>
          <w:color w:val="auto"/>
        </w:rPr>
        <w:t>6</w:t>
      </w:r>
      <w:r>
        <w:rPr>
          <w:rFonts w:hint="eastAsia"/>
          <w:color w:val="auto"/>
        </w:rPr>
        <w:t>、我方承诺响应比选有效期为开标后</w:t>
      </w:r>
      <w:r>
        <w:rPr>
          <w:color w:val="auto"/>
          <w:u w:val="single"/>
        </w:rPr>
        <w:t>90</w:t>
      </w:r>
      <w:r>
        <w:rPr>
          <w:rFonts w:hint="eastAsia"/>
          <w:color w:val="auto"/>
        </w:rPr>
        <w:t>天。</w:t>
      </w:r>
    </w:p>
    <w:p>
      <w:pPr>
        <w:pStyle w:val="53"/>
        <w:spacing w:line="240" w:lineRule="auto"/>
        <w:ind w:left="480" w:firstLine="480"/>
        <w:rPr>
          <w:bCs/>
          <w:color w:val="auto"/>
        </w:rPr>
      </w:pPr>
    </w:p>
    <w:p>
      <w:pPr>
        <w:ind w:firstLine="480"/>
        <w:rPr>
          <w:color w:val="auto"/>
        </w:rPr>
      </w:pPr>
      <w:r>
        <w:rPr>
          <w:rFonts w:hint="eastAsia"/>
          <w:color w:val="auto"/>
        </w:rPr>
        <w:t>响应人名称：</w:t>
      </w:r>
      <w:r>
        <w:rPr>
          <w:color w:val="auto"/>
        </w:rPr>
        <w:t xml:space="preserve">        </w:t>
      </w:r>
      <w:r>
        <w:rPr>
          <w:rFonts w:hint="eastAsia"/>
          <w:color w:val="auto"/>
        </w:rPr>
        <w:t>（盖章）</w:t>
      </w:r>
    </w:p>
    <w:p>
      <w:pPr>
        <w:ind w:firstLine="480"/>
        <w:rPr>
          <w:color w:val="auto"/>
        </w:rPr>
      </w:pPr>
      <w:r>
        <w:rPr>
          <w:rFonts w:hint="eastAsia"/>
          <w:color w:val="auto"/>
        </w:rPr>
        <w:t>法定代表人或授权代表（签字）：</w:t>
      </w:r>
    </w:p>
    <w:p>
      <w:pPr>
        <w:ind w:firstLine="480"/>
        <w:rPr>
          <w:color w:val="auto"/>
        </w:rPr>
      </w:pPr>
      <w:r>
        <w:rPr>
          <w:rFonts w:hint="eastAsia"/>
          <w:color w:val="auto"/>
        </w:rPr>
        <w:t>通讯地址：</w:t>
      </w:r>
    </w:p>
    <w:p>
      <w:pPr>
        <w:ind w:firstLine="480"/>
        <w:rPr>
          <w:color w:val="auto"/>
        </w:rPr>
      </w:pPr>
      <w:r>
        <w:rPr>
          <w:rFonts w:hint="eastAsia"/>
          <w:color w:val="auto"/>
        </w:rPr>
        <w:t>邮政编码：</w:t>
      </w:r>
    </w:p>
    <w:p>
      <w:pPr>
        <w:ind w:firstLine="480"/>
        <w:rPr>
          <w:color w:val="auto"/>
        </w:rPr>
      </w:pPr>
      <w:r>
        <w:rPr>
          <w:rFonts w:hint="eastAsia"/>
          <w:color w:val="auto"/>
        </w:rPr>
        <w:t>联系电话：</w:t>
      </w:r>
    </w:p>
    <w:p>
      <w:pPr>
        <w:ind w:firstLine="480"/>
        <w:rPr>
          <w:color w:val="auto"/>
        </w:rPr>
      </w:pPr>
      <w:r>
        <w:rPr>
          <w:rFonts w:hint="eastAsia"/>
          <w:color w:val="auto"/>
        </w:rPr>
        <w:t>传</w:t>
      </w:r>
      <w:r>
        <w:rPr>
          <w:color w:val="auto"/>
        </w:rPr>
        <w:t xml:space="preserve">    </w:t>
      </w:r>
      <w:r>
        <w:rPr>
          <w:rFonts w:hint="eastAsia"/>
          <w:color w:val="auto"/>
        </w:rPr>
        <w:t>真：</w:t>
      </w:r>
    </w:p>
    <w:p>
      <w:pPr>
        <w:ind w:firstLine="480"/>
        <w:rPr>
          <w:color w:val="auto"/>
        </w:rPr>
      </w:pPr>
      <w:r>
        <w:rPr>
          <w:rFonts w:hint="eastAsia"/>
          <w:color w:val="auto"/>
        </w:rPr>
        <w:t>日</w:t>
      </w:r>
      <w:r>
        <w:rPr>
          <w:color w:val="auto"/>
        </w:rPr>
        <w:t xml:space="preserve">    </w:t>
      </w:r>
      <w:r>
        <w:rPr>
          <w:rFonts w:hint="eastAsia"/>
          <w:color w:val="auto"/>
        </w:rPr>
        <w:t>期：</w:t>
      </w:r>
      <w:bookmarkStart w:id="588" w:name="_Toc217446083"/>
    </w:p>
    <w:p>
      <w:pPr>
        <w:ind w:firstLine="480"/>
        <w:rPr>
          <w:color w:val="auto"/>
        </w:rPr>
      </w:pPr>
      <w:r>
        <w:rPr>
          <w:color w:val="auto"/>
        </w:rPr>
        <w:br w:type="page"/>
      </w:r>
    </w:p>
    <w:p>
      <w:pPr>
        <w:pStyle w:val="4"/>
        <w:rPr>
          <w:color w:val="auto"/>
        </w:rPr>
      </w:pPr>
      <w:bookmarkStart w:id="589" w:name="_Toc19999"/>
      <w:bookmarkStart w:id="590" w:name="_Toc513635026"/>
      <w:bookmarkStart w:id="591" w:name="_Toc513216376"/>
      <w:bookmarkStart w:id="592" w:name="_Toc23401"/>
      <w:r>
        <w:rPr>
          <w:rFonts w:hint="eastAsia"/>
          <w:color w:val="auto"/>
        </w:rPr>
        <w:t>二、法定代表人授权书</w:t>
      </w:r>
      <w:bookmarkEnd w:id="588"/>
      <w:bookmarkEnd w:id="589"/>
      <w:bookmarkEnd w:id="590"/>
      <w:bookmarkEnd w:id="591"/>
      <w:bookmarkEnd w:id="592"/>
    </w:p>
    <w:p>
      <w:pPr>
        <w:ind w:firstLine="0" w:firstLineChars="0"/>
        <w:rPr>
          <w:color w:val="auto"/>
        </w:rPr>
      </w:pPr>
      <w:r>
        <w:rPr>
          <w:color w:val="auto"/>
        </w:rPr>
        <w:t>__________________</w:t>
      </w:r>
      <w:r>
        <w:rPr>
          <w:rFonts w:hint="eastAsia"/>
          <w:color w:val="auto"/>
        </w:rPr>
        <w:t>：</w:t>
      </w:r>
    </w:p>
    <w:p>
      <w:pPr>
        <w:ind w:firstLine="480"/>
        <w:rPr>
          <w:color w:val="auto"/>
        </w:rPr>
      </w:pPr>
      <w:r>
        <w:rPr>
          <w:rFonts w:hint="eastAsia"/>
          <w:color w:val="auto"/>
        </w:rPr>
        <w:t>本授权声明：</w:t>
      </w:r>
      <w:r>
        <w:rPr>
          <w:color w:val="auto"/>
          <w:u w:val="single"/>
        </w:rPr>
        <w:t xml:space="preserve">                     </w:t>
      </w:r>
      <w:r>
        <w:rPr>
          <w:rFonts w:hint="eastAsia"/>
          <w:color w:val="auto"/>
        </w:rPr>
        <w:t>（响应人名称）</w:t>
      </w:r>
      <w:r>
        <w:rPr>
          <w:color w:val="auto"/>
          <w:u w:val="single"/>
        </w:rPr>
        <w:t xml:space="preserve">          </w:t>
      </w:r>
      <w:r>
        <w:rPr>
          <w:rFonts w:hint="eastAsia"/>
          <w:color w:val="auto"/>
        </w:rPr>
        <w:t>（法定代表人姓名、职务）授权</w:t>
      </w:r>
      <w:r>
        <w:rPr>
          <w:color w:val="auto"/>
          <w:u w:val="single"/>
        </w:rPr>
        <w:t xml:space="preserve">                        </w:t>
      </w:r>
      <w:r>
        <w:rPr>
          <w:rFonts w:hint="eastAsia"/>
          <w:color w:val="auto"/>
        </w:rPr>
        <w:t>（被授权人姓名、职务）为我方</w:t>
      </w:r>
      <w:r>
        <w:rPr>
          <w:color w:val="auto"/>
        </w:rPr>
        <w:t xml:space="preserve"> </w:t>
      </w:r>
      <w:r>
        <w:rPr>
          <w:rFonts w:hint="eastAsia"/>
          <w:color w:val="auto"/>
        </w:rPr>
        <w:t>“</w:t>
      </w:r>
      <w:r>
        <w:rPr>
          <w:color w:val="auto"/>
        </w:rPr>
        <w:t xml:space="preserve"> </w:t>
      </w:r>
      <w:r>
        <w:rPr>
          <w:color w:val="auto"/>
          <w:u w:val="single"/>
        </w:rPr>
        <w:t xml:space="preserve">             </w:t>
      </w:r>
      <w:r>
        <w:rPr>
          <w:rFonts w:hint="eastAsia"/>
          <w:color w:val="auto"/>
        </w:rPr>
        <w:t>”</w:t>
      </w:r>
      <w:r>
        <w:rPr>
          <w:color w:val="auto"/>
        </w:rPr>
        <w:t xml:space="preserve"> </w:t>
      </w:r>
      <w:r>
        <w:rPr>
          <w:rFonts w:hint="eastAsia"/>
          <w:color w:val="auto"/>
        </w:rPr>
        <w:t>项目（采购编号</w:t>
      </w:r>
      <w:r>
        <w:rPr>
          <w:color w:val="auto"/>
          <w:u w:val="single"/>
        </w:rPr>
        <w:t xml:space="preserve">         </w:t>
      </w:r>
      <w:r>
        <w:rPr>
          <w:rFonts w:hint="eastAsia"/>
          <w:color w:val="auto"/>
        </w:rPr>
        <w:t>）比选活动的合法代表，以我方名义全权处理该项目有关比选、签订合同以及执行合同等一切事宜。</w:t>
      </w:r>
    </w:p>
    <w:p>
      <w:pPr>
        <w:ind w:firstLine="480"/>
        <w:rPr>
          <w:rFonts w:ascii="宋体"/>
          <w:color w:val="auto"/>
        </w:rPr>
      </w:pPr>
      <w:r>
        <w:rPr>
          <w:rFonts w:hint="eastAsia" w:ascii="宋体" w:hAnsi="宋体"/>
          <w:color w:val="auto"/>
        </w:rPr>
        <w:t>特此声明。</w:t>
      </w:r>
    </w:p>
    <w:p>
      <w:pPr>
        <w:ind w:firstLine="480"/>
        <w:rPr>
          <w:rFonts w:ascii="宋体"/>
          <w:color w:val="auto"/>
        </w:rPr>
      </w:pPr>
    </w:p>
    <w:p>
      <w:pPr>
        <w:ind w:firstLine="480"/>
        <w:rPr>
          <w:rFonts w:ascii="宋体"/>
          <w:color w:val="auto"/>
        </w:rPr>
      </w:pPr>
    </w:p>
    <w:p>
      <w:pPr>
        <w:ind w:firstLine="480"/>
        <w:rPr>
          <w:rFonts w:ascii="宋体"/>
          <w:color w:val="auto"/>
        </w:rPr>
      </w:pPr>
      <w:r>
        <w:rPr>
          <w:rFonts w:hint="eastAsia" w:ascii="宋体" w:hAnsi="宋体"/>
          <w:color w:val="auto"/>
        </w:rPr>
        <w:t>法定代表人签字：</w:t>
      </w:r>
    </w:p>
    <w:p>
      <w:pPr>
        <w:ind w:firstLine="480"/>
        <w:rPr>
          <w:rFonts w:ascii="宋体"/>
          <w:color w:val="auto"/>
        </w:rPr>
      </w:pPr>
      <w:r>
        <w:rPr>
          <w:rFonts w:hint="eastAsia" w:ascii="宋体" w:hAnsi="宋体"/>
          <w:color w:val="auto"/>
        </w:rPr>
        <w:t>授权代表签字：</w:t>
      </w:r>
    </w:p>
    <w:p>
      <w:pPr>
        <w:ind w:firstLine="480"/>
        <w:rPr>
          <w:rFonts w:ascii="宋体"/>
          <w:color w:val="auto"/>
        </w:rPr>
      </w:pPr>
      <w:r>
        <w:rPr>
          <w:rFonts w:hint="eastAsia" w:ascii="宋体" w:hAnsi="宋体"/>
          <w:color w:val="auto"/>
        </w:rPr>
        <w:t>响应人名称：</w:t>
      </w:r>
      <w:r>
        <w:rPr>
          <w:rFonts w:ascii="宋体" w:hAnsi="宋体"/>
          <w:color w:val="auto"/>
        </w:rPr>
        <w:t xml:space="preserve">         </w:t>
      </w:r>
      <w:r>
        <w:rPr>
          <w:rFonts w:hint="eastAsia" w:ascii="宋体" w:hAnsi="宋体"/>
          <w:color w:val="auto"/>
        </w:rPr>
        <w:t>（盖章）</w:t>
      </w:r>
    </w:p>
    <w:p>
      <w:pPr>
        <w:ind w:firstLine="480"/>
        <w:rPr>
          <w:rFonts w:asci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spacing w:line="400" w:lineRule="exact"/>
        <w:ind w:firstLine="640"/>
        <w:rPr>
          <w:rFonts w:ascii="宋体"/>
          <w:color w:val="auto"/>
          <w:sz w:val="32"/>
        </w:rPr>
      </w:pPr>
    </w:p>
    <w:p>
      <w:pPr>
        <w:spacing w:line="400" w:lineRule="exact"/>
        <w:ind w:firstLine="480"/>
        <w:rPr>
          <w:rFonts w:ascii="宋体"/>
          <w:b/>
          <w:color w:val="auto"/>
          <w:szCs w:val="28"/>
        </w:rPr>
      </w:pPr>
      <w:r>
        <w:rPr>
          <w:rFonts w:hint="eastAsia" w:ascii="宋体" w:hAnsi="宋体"/>
          <w:color w:val="auto"/>
        </w:rPr>
        <w:t>附法定代表人和被授权人身份证复印件。</w:t>
      </w: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r>
        <w:rPr>
          <w:rFonts w:ascii="宋体" w:hAnsi="宋体"/>
          <w:b/>
          <w:color w:val="auto"/>
          <w:sz w:val="28"/>
          <w:szCs w:val="28"/>
        </w:rPr>
        <w:t xml:space="preserve">   </w:t>
      </w:r>
    </w:p>
    <w:p>
      <w:pPr>
        <w:spacing w:line="400" w:lineRule="exact"/>
        <w:ind w:firstLine="562"/>
        <w:rPr>
          <w:rFonts w:ascii="宋体"/>
          <w:b/>
          <w:color w:val="auto"/>
          <w:sz w:val="28"/>
          <w:szCs w:val="28"/>
        </w:rPr>
      </w:pPr>
    </w:p>
    <w:p>
      <w:pPr>
        <w:spacing w:line="400" w:lineRule="exact"/>
        <w:ind w:firstLine="562"/>
        <w:rPr>
          <w:rFonts w:ascii="宋体"/>
          <w:b/>
          <w:color w:val="auto"/>
          <w:sz w:val="28"/>
          <w:szCs w:val="28"/>
        </w:rPr>
      </w:pPr>
    </w:p>
    <w:p>
      <w:pPr>
        <w:widowControl/>
        <w:spacing w:line="240" w:lineRule="auto"/>
        <w:ind w:firstLine="0" w:firstLineChars="0"/>
        <w:jc w:val="left"/>
        <w:rPr>
          <w:rFonts w:ascii="宋体"/>
          <w:b/>
          <w:color w:val="auto"/>
          <w:sz w:val="28"/>
          <w:szCs w:val="28"/>
        </w:rPr>
      </w:pPr>
      <w:r>
        <w:rPr>
          <w:rFonts w:ascii="宋体"/>
          <w:b/>
          <w:color w:val="auto"/>
          <w:sz w:val="28"/>
          <w:szCs w:val="28"/>
        </w:rPr>
        <w:br w:type="page"/>
      </w:r>
    </w:p>
    <w:p>
      <w:pPr>
        <w:pStyle w:val="4"/>
        <w:numPr>
          <w:ilvl w:val="0"/>
          <w:numId w:val="2"/>
        </w:numPr>
        <w:rPr>
          <w:color w:val="auto"/>
        </w:rPr>
      </w:pPr>
      <w:bookmarkStart w:id="593" w:name="_Toc361325784"/>
      <w:bookmarkStart w:id="594" w:name="_Toc263768864"/>
      <w:bookmarkStart w:id="595" w:name="_Toc263753600"/>
      <w:bookmarkStart w:id="596" w:name="_Toc250041691"/>
      <w:bookmarkStart w:id="597" w:name="_Toc237145385"/>
      <w:bookmarkStart w:id="598" w:name="_Toc513635027"/>
      <w:bookmarkStart w:id="599" w:name="_Toc513216377"/>
      <w:bookmarkStart w:id="600" w:name="_Toc5294"/>
      <w:bookmarkStart w:id="601" w:name="_Toc256175382"/>
      <w:bookmarkStart w:id="602" w:name="_Toc362988481"/>
      <w:bookmarkStart w:id="603" w:name="_Toc297204985"/>
      <w:bookmarkStart w:id="604" w:name="_Toc217446086"/>
      <w:bookmarkStart w:id="605" w:name="_Toc5014"/>
      <w:r>
        <w:rPr>
          <w:rFonts w:hint="eastAsia"/>
          <w:color w:val="auto"/>
        </w:rPr>
        <w:t>开标一览表</w:t>
      </w:r>
      <w:bookmarkEnd w:id="593"/>
      <w:bookmarkEnd w:id="594"/>
      <w:bookmarkEnd w:id="595"/>
      <w:bookmarkEnd w:id="596"/>
      <w:bookmarkEnd w:id="597"/>
      <w:bookmarkEnd w:id="598"/>
      <w:bookmarkEnd w:id="599"/>
      <w:bookmarkEnd w:id="600"/>
      <w:bookmarkEnd w:id="601"/>
      <w:bookmarkEnd w:id="602"/>
      <w:bookmarkEnd w:id="603"/>
    </w:p>
    <w:tbl>
      <w:tblPr>
        <w:tblStyle w:val="89"/>
        <w:tblW w:w="8515"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05"/>
        <w:gridCol w:w="1410"/>
        <w:gridCol w:w="735"/>
        <w:gridCol w:w="1410"/>
        <w:gridCol w:w="2040"/>
        <w:gridCol w:w="146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gridSpan w:val="2"/>
            <w:vAlign w:val="center"/>
          </w:tcPr>
          <w:p>
            <w:pPr>
              <w:pStyle w:val="374"/>
              <w:rPr>
                <w:rFonts w:eastAsiaTheme="minorEastAsia"/>
                <w:color w:val="auto"/>
                <w:sz w:val="18"/>
                <w:szCs w:val="18"/>
              </w:rPr>
            </w:pPr>
            <w:r>
              <w:rPr>
                <w:rFonts w:hint="eastAsia" w:eastAsiaTheme="minorEastAsia"/>
                <w:color w:val="auto"/>
                <w:sz w:val="18"/>
                <w:szCs w:val="18"/>
              </w:rPr>
              <w:t>采购项目名称</w:t>
            </w:r>
          </w:p>
        </w:tc>
        <w:tc>
          <w:tcPr>
            <w:tcW w:w="7057" w:type="dxa"/>
            <w:gridSpan w:val="5"/>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58" w:type="dxa"/>
            <w:gridSpan w:val="2"/>
            <w:vAlign w:val="center"/>
          </w:tcPr>
          <w:p>
            <w:pPr>
              <w:pStyle w:val="374"/>
              <w:rPr>
                <w:rFonts w:eastAsiaTheme="minorEastAsia"/>
                <w:color w:val="auto"/>
                <w:sz w:val="18"/>
                <w:szCs w:val="18"/>
              </w:rPr>
            </w:pPr>
            <w:r>
              <w:rPr>
                <w:rFonts w:hint="eastAsia" w:eastAsiaTheme="minorEastAsia"/>
                <w:color w:val="auto"/>
                <w:sz w:val="18"/>
                <w:szCs w:val="18"/>
              </w:rPr>
              <w:t>采购项目编号</w:t>
            </w:r>
          </w:p>
        </w:tc>
        <w:tc>
          <w:tcPr>
            <w:tcW w:w="7057" w:type="dxa"/>
            <w:gridSpan w:val="5"/>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3" w:type="dxa"/>
            <w:vAlign w:val="center"/>
          </w:tcPr>
          <w:p>
            <w:pPr>
              <w:pStyle w:val="374"/>
              <w:jc w:val="center"/>
              <w:rPr>
                <w:rFonts w:eastAsiaTheme="minorEastAsia"/>
                <w:color w:val="auto"/>
                <w:sz w:val="18"/>
                <w:szCs w:val="18"/>
              </w:rPr>
            </w:pPr>
            <w:r>
              <w:rPr>
                <w:rFonts w:hint="eastAsia" w:eastAsiaTheme="minorEastAsia"/>
                <w:color w:val="auto"/>
                <w:sz w:val="18"/>
                <w:szCs w:val="18"/>
              </w:rPr>
              <w:t>序号</w:t>
            </w:r>
          </w:p>
        </w:tc>
        <w:tc>
          <w:tcPr>
            <w:tcW w:w="705" w:type="dxa"/>
            <w:vAlign w:val="center"/>
          </w:tcPr>
          <w:p>
            <w:pPr>
              <w:pStyle w:val="374"/>
              <w:jc w:val="center"/>
              <w:rPr>
                <w:rFonts w:eastAsiaTheme="minorEastAsia"/>
                <w:color w:val="auto"/>
                <w:sz w:val="18"/>
                <w:szCs w:val="18"/>
              </w:rPr>
            </w:pPr>
            <w:r>
              <w:rPr>
                <w:rFonts w:hint="eastAsia" w:eastAsiaTheme="minorEastAsia"/>
                <w:color w:val="auto"/>
                <w:sz w:val="18"/>
                <w:szCs w:val="18"/>
              </w:rPr>
              <w:t>服务内容</w:t>
            </w:r>
          </w:p>
        </w:tc>
        <w:tc>
          <w:tcPr>
            <w:tcW w:w="1410" w:type="dxa"/>
            <w:vAlign w:val="center"/>
          </w:tcPr>
          <w:p>
            <w:pPr>
              <w:pStyle w:val="374"/>
              <w:jc w:val="center"/>
              <w:rPr>
                <w:rFonts w:eastAsiaTheme="minorEastAsia"/>
                <w:color w:val="auto"/>
                <w:sz w:val="18"/>
                <w:szCs w:val="18"/>
              </w:rPr>
            </w:pPr>
            <w:r>
              <w:rPr>
                <w:rFonts w:hint="eastAsia" w:eastAsiaTheme="minorEastAsia"/>
                <w:color w:val="auto"/>
                <w:sz w:val="18"/>
                <w:szCs w:val="18"/>
              </w:rPr>
              <w:t>规格</w:t>
            </w:r>
          </w:p>
        </w:tc>
        <w:tc>
          <w:tcPr>
            <w:tcW w:w="735" w:type="dxa"/>
            <w:vAlign w:val="center"/>
          </w:tcPr>
          <w:p>
            <w:pPr>
              <w:pStyle w:val="374"/>
              <w:rPr>
                <w:rFonts w:eastAsiaTheme="minorEastAsia"/>
                <w:color w:val="auto"/>
                <w:sz w:val="18"/>
                <w:szCs w:val="18"/>
              </w:rPr>
            </w:pPr>
            <w:r>
              <w:rPr>
                <w:rFonts w:hint="eastAsia" w:eastAsiaTheme="minorEastAsia"/>
                <w:color w:val="auto"/>
                <w:sz w:val="18"/>
                <w:szCs w:val="18"/>
              </w:rPr>
              <w:t>计量单 位</w:t>
            </w:r>
          </w:p>
        </w:tc>
        <w:tc>
          <w:tcPr>
            <w:tcW w:w="1410" w:type="dxa"/>
            <w:vAlign w:val="center"/>
          </w:tcPr>
          <w:p>
            <w:pPr>
              <w:pStyle w:val="374"/>
              <w:jc w:val="center"/>
              <w:rPr>
                <w:rFonts w:eastAsiaTheme="minorEastAsia"/>
                <w:color w:val="auto"/>
                <w:sz w:val="18"/>
                <w:szCs w:val="18"/>
              </w:rPr>
            </w:pPr>
            <w:r>
              <w:rPr>
                <w:rFonts w:hint="eastAsia" w:eastAsiaTheme="minorEastAsia"/>
                <w:color w:val="auto"/>
                <w:sz w:val="18"/>
                <w:szCs w:val="18"/>
              </w:rPr>
              <w:t>单价（元）</w:t>
            </w:r>
          </w:p>
        </w:tc>
        <w:tc>
          <w:tcPr>
            <w:tcW w:w="2040" w:type="dxa"/>
            <w:vAlign w:val="center"/>
          </w:tcPr>
          <w:p>
            <w:pPr>
              <w:pStyle w:val="374"/>
              <w:jc w:val="center"/>
              <w:rPr>
                <w:rFonts w:eastAsiaTheme="minorEastAsia"/>
                <w:color w:val="auto"/>
                <w:sz w:val="18"/>
                <w:szCs w:val="18"/>
              </w:rPr>
            </w:pPr>
            <w:r>
              <w:rPr>
                <w:rFonts w:hint="eastAsia" w:eastAsiaTheme="minorEastAsia"/>
                <w:color w:val="auto"/>
                <w:sz w:val="18"/>
                <w:szCs w:val="18"/>
              </w:rPr>
              <w:t>比选报价（或折扣：xx%）</w:t>
            </w:r>
          </w:p>
        </w:tc>
        <w:tc>
          <w:tcPr>
            <w:tcW w:w="1462" w:type="dxa"/>
            <w:vAlign w:val="center"/>
          </w:tcPr>
          <w:p>
            <w:pPr>
              <w:pStyle w:val="374"/>
              <w:jc w:val="center"/>
              <w:rPr>
                <w:rFonts w:eastAsiaTheme="minorEastAsia"/>
                <w:color w:val="auto"/>
                <w:sz w:val="18"/>
                <w:szCs w:val="18"/>
              </w:rPr>
            </w:pPr>
            <w:r>
              <w:rPr>
                <w:rFonts w:hint="eastAsia" w:eastAsiaTheme="minorEastAsia"/>
                <w:color w:val="auto"/>
                <w:sz w:val="18"/>
                <w:szCs w:val="18"/>
              </w:rPr>
              <w:t>总价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3" w:type="dxa"/>
            <w:vAlign w:val="center"/>
          </w:tcPr>
          <w:p>
            <w:pPr>
              <w:pStyle w:val="374"/>
              <w:rPr>
                <w:rFonts w:eastAsiaTheme="minorEastAsia"/>
                <w:color w:val="auto"/>
                <w:sz w:val="18"/>
                <w:szCs w:val="18"/>
              </w:rPr>
            </w:pPr>
            <w:r>
              <w:rPr>
                <w:rFonts w:hint="eastAsia" w:eastAsiaTheme="minorEastAsia"/>
                <w:color w:val="auto"/>
                <w:sz w:val="18"/>
                <w:szCs w:val="18"/>
              </w:rPr>
              <w:t>1</w:t>
            </w:r>
          </w:p>
        </w:tc>
        <w:tc>
          <w:tcPr>
            <w:tcW w:w="705" w:type="dxa"/>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750" w:hRule="atLeast"/>
        </w:trPr>
        <w:tc>
          <w:tcPr>
            <w:tcW w:w="753" w:type="dxa"/>
            <w:vMerge w:val="restart"/>
            <w:vAlign w:val="center"/>
          </w:tcPr>
          <w:p>
            <w:pPr>
              <w:pStyle w:val="374"/>
              <w:rPr>
                <w:rFonts w:eastAsiaTheme="minorEastAsia"/>
                <w:color w:val="auto"/>
                <w:sz w:val="18"/>
                <w:szCs w:val="18"/>
              </w:rPr>
            </w:pPr>
            <w:r>
              <w:rPr>
                <w:rFonts w:hint="eastAsia" w:eastAsiaTheme="minorEastAsia"/>
                <w:color w:val="auto"/>
                <w:sz w:val="18"/>
                <w:szCs w:val="18"/>
              </w:rPr>
              <w:t>2</w:t>
            </w:r>
          </w:p>
        </w:tc>
        <w:tc>
          <w:tcPr>
            <w:tcW w:w="705" w:type="dxa"/>
            <w:vMerge w:val="restart"/>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3" w:type="dxa"/>
            <w:vMerge w:val="restart"/>
            <w:vAlign w:val="center"/>
          </w:tcPr>
          <w:p>
            <w:pPr>
              <w:pStyle w:val="374"/>
              <w:rPr>
                <w:rFonts w:eastAsiaTheme="minorEastAsia"/>
                <w:color w:val="auto"/>
                <w:sz w:val="18"/>
                <w:szCs w:val="18"/>
              </w:rPr>
            </w:pPr>
            <w:r>
              <w:rPr>
                <w:rFonts w:hint="eastAsia" w:eastAsiaTheme="minorEastAsia"/>
                <w:color w:val="auto"/>
                <w:sz w:val="18"/>
                <w:szCs w:val="18"/>
              </w:rPr>
              <w:t>3</w:t>
            </w:r>
          </w:p>
        </w:tc>
        <w:tc>
          <w:tcPr>
            <w:tcW w:w="705" w:type="dxa"/>
            <w:vMerge w:val="restart"/>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3" w:type="dxa"/>
            <w:vMerge w:val="restart"/>
            <w:vAlign w:val="center"/>
          </w:tcPr>
          <w:p>
            <w:pPr>
              <w:pStyle w:val="374"/>
              <w:rPr>
                <w:rFonts w:eastAsiaTheme="minorEastAsia"/>
                <w:color w:val="auto"/>
                <w:sz w:val="18"/>
                <w:szCs w:val="18"/>
              </w:rPr>
            </w:pPr>
            <w:r>
              <w:rPr>
                <w:rFonts w:hint="eastAsia" w:eastAsiaTheme="minorEastAsia"/>
                <w:color w:val="auto"/>
                <w:sz w:val="18"/>
                <w:szCs w:val="18"/>
              </w:rPr>
              <w:t>4</w:t>
            </w:r>
          </w:p>
        </w:tc>
        <w:tc>
          <w:tcPr>
            <w:tcW w:w="705" w:type="dxa"/>
            <w:vMerge w:val="restart"/>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53" w:type="dxa"/>
            <w:vMerge w:val="continue"/>
            <w:vAlign w:val="center"/>
          </w:tcPr>
          <w:p>
            <w:pPr>
              <w:pStyle w:val="374"/>
              <w:rPr>
                <w:rFonts w:eastAsiaTheme="minorEastAsia"/>
                <w:color w:val="auto"/>
                <w:sz w:val="18"/>
                <w:szCs w:val="18"/>
              </w:rPr>
            </w:pPr>
          </w:p>
        </w:tc>
        <w:tc>
          <w:tcPr>
            <w:tcW w:w="705" w:type="dxa"/>
            <w:vMerge w:val="continue"/>
          </w:tcPr>
          <w:p>
            <w:pPr>
              <w:ind w:firstLine="0" w:firstLineChars="0"/>
              <w:rPr>
                <w:rFonts w:eastAsiaTheme="minorEastAsia"/>
                <w:color w:val="auto"/>
                <w:sz w:val="18"/>
                <w:szCs w:val="18"/>
              </w:rPr>
            </w:pPr>
          </w:p>
        </w:tc>
        <w:tc>
          <w:tcPr>
            <w:tcW w:w="1410" w:type="dxa"/>
          </w:tcPr>
          <w:p>
            <w:pPr>
              <w:ind w:firstLine="0" w:firstLineChars="0"/>
              <w:rPr>
                <w:rFonts w:eastAsiaTheme="minorEastAsia"/>
                <w:color w:val="auto"/>
                <w:sz w:val="18"/>
                <w:szCs w:val="18"/>
              </w:rPr>
            </w:pPr>
          </w:p>
        </w:tc>
        <w:tc>
          <w:tcPr>
            <w:tcW w:w="735" w:type="dxa"/>
            <w:vAlign w:val="center"/>
          </w:tcPr>
          <w:p>
            <w:pPr>
              <w:pStyle w:val="374"/>
              <w:rPr>
                <w:rFonts w:eastAsiaTheme="minorEastAsia"/>
                <w:b/>
                <w:bCs/>
                <w:color w:val="auto"/>
                <w:sz w:val="18"/>
                <w:szCs w:val="18"/>
              </w:rPr>
            </w:pPr>
          </w:p>
        </w:tc>
        <w:tc>
          <w:tcPr>
            <w:tcW w:w="1410" w:type="dxa"/>
            <w:vAlign w:val="center"/>
          </w:tcPr>
          <w:p>
            <w:pPr>
              <w:pStyle w:val="374"/>
              <w:ind w:firstLine="480"/>
              <w:jc w:val="center"/>
              <w:rPr>
                <w:rFonts w:eastAsiaTheme="minorEastAsia"/>
                <w:color w:val="auto"/>
                <w:sz w:val="18"/>
                <w:szCs w:val="18"/>
              </w:rPr>
            </w:pPr>
          </w:p>
        </w:tc>
        <w:tc>
          <w:tcPr>
            <w:tcW w:w="2040" w:type="dxa"/>
            <w:vAlign w:val="center"/>
          </w:tcPr>
          <w:p>
            <w:pPr>
              <w:pStyle w:val="374"/>
              <w:ind w:firstLine="480"/>
              <w:jc w:val="center"/>
              <w:rPr>
                <w:rFonts w:eastAsiaTheme="minorEastAsia"/>
                <w:color w:val="auto"/>
                <w:sz w:val="18"/>
                <w:szCs w:val="18"/>
              </w:rPr>
            </w:pPr>
          </w:p>
        </w:tc>
        <w:tc>
          <w:tcPr>
            <w:tcW w:w="1462" w:type="dxa"/>
            <w:vAlign w:val="center"/>
          </w:tcPr>
          <w:p>
            <w:pPr>
              <w:pStyle w:val="374"/>
              <w:ind w:firstLine="480"/>
              <w:jc w:val="center"/>
              <w:rPr>
                <w:rFonts w:eastAsiaTheme="minorEastAsia"/>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53" w:type="dxa"/>
            <w:gridSpan w:val="6"/>
            <w:vAlign w:val="center"/>
          </w:tcPr>
          <w:p>
            <w:pPr>
              <w:pStyle w:val="374"/>
              <w:ind w:firstLine="480"/>
              <w:jc w:val="center"/>
              <w:rPr>
                <w:rFonts w:eastAsiaTheme="minorEastAsia"/>
                <w:color w:val="auto"/>
                <w:sz w:val="18"/>
                <w:szCs w:val="18"/>
              </w:rPr>
            </w:pPr>
            <w:r>
              <w:rPr>
                <w:rFonts w:hint="eastAsia" w:eastAsiaTheme="minorEastAsia"/>
                <w:color w:val="auto"/>
                <w:sz w:val="18"/>
                <w:szCs w:val="18"/>
              </w:rPr>
              <w:t>分项汇总价</w:t>
            </w:r>
          </w:p>
        </w:tc>
        <w:tc>
          <w:tcPr>
            <w:tcW w:w="1462" w:type="dxa"/>
            <w:vAlign w:val="center"/>
          </w:tcPr>
          <w:p>
            <w:pPr>
              <w:pStyle w:val="374"/>
              <w:ind w:firstLine="480"/>
              <w:jc w:val="center"/>
              <w:rPr>
                <w:rFonts w:eastAsiaTheme="minorEastAsia"/>
                <w:color w:val="auto"/>
                <w:sz w:val="18"/>
                <w:szCs w:val="18"/>
              </w:rPr>
            </w:pPr>
          </w:p>
        </w:tc>
      </w:tr>
    </w:tbl>
    <w:p>
      <w:pPr>
        <w:ind w:firstLine="480"/>
        <w:rPr>
          <w:color w:val="auto"/>
        </w:rPr>
      </w:pPr>
      <w:r>
        <w:rPr>
          <w:rFonts w:hint="eastAsia"/>
          <w:color w:val="auto"/>
        </w:rPr>
        <w:t>注：</w:t>
      </w:r>
      <w:r>
        <w:rPr>
          <w:color w:val="auto"/>
        </w:rPr>
        <w:t>1</w:t>
      </w:r>
      <w:r>
        <w:rPr>
          <w:rFonts w:hint="eastAsia"/>
          <w:color w:val="auto"/>
        </w:rPr>
        <w:t>、“比选总价”应与“响应函”中“比选总价”一致。</w:t>
      </w:r>
    </w:p>
    <w:p>
      <w:pPr>
        <w:ind w:firstLine="480"/>
        <w:rPr>
          <w:color w:val="auto"/>
        </w:rPr>
      </w:pPr>
      <w:r>
        <w:rPr>
          <w:color w:val="auto"/>
        </w:rPr>
        <w:t>2.</w:t>
      </w:r>
      <w:r>
        <w:rPr>
          <w:rFonts w:hint="eastAsia"/>
          <w:color w:val="auto"/>
        </w:rPr>
        <w:t>“开标一览表”为多页的，每页均需由法定代表人或授权代表签字并盖响应人印章。</w:t>
      </w:r>
    </w:p>
    <w:p>
      <w:pPr>
        <w:ind w:firstLine="480"/>
        <w:rPr>
          <w:color w:val="auto"/>
        </w:rPr>
      </w:pPr>
      <w:r>
        <w:rPr>
          <w:rFonts w:hint="eastAsia"/>
          <w:color w:val="auto"/>
        </w:rPr>
        <w:t>响应人名称：</w:t>
      </w:r>
      <w:r>
        <w:rPr>
          <w:color w:val="auto"/>
        </w:rPr>
        <w:t xml:space="preserve">        </w:t>
      </w:r>
      <w:r>
        <w:rPr>
          <w:rFonts w:hint="eastAsia"/>
          <w:color w:val="auto"/>
        </w:rPr>
        <w:t>（盖章）</w:t>
      </w:r>
    </w:p>
    <w:p>
      <w:pPr>
        <w:ind w:firstLine="480"/>
        <w:rPr>
          <w:color w:val="auto"/>
        </w:rPr>
      </w:pPr>
      <w:r>
        <w:rPr>
          <w:rFonts w:hint="eastAsia"/>
          <w:color w:val="auto"/>
        </w:rPr>
        <w:t>法定代表人或授权代表（签字）：</w:t>
      </w:r>
    </w:p>
    <w:p>
      <w:pPr>
        <w:ind w:firstLine="480"/>
        <w:rPr>
          <w:color w:val="auto"/>
        </w:rPr>
      </w:pPr>
      <w:r>
        <w:rPr>
          <w:rFonts w:hint="eastAsia"/>
          <w:color w:val="auto"/>
        </w:rPr>
        <w:t>日期：</w:t>
      </w:r>
    </w:p>
    <w:bookmarkEnd w:id="604"/>
    <w:bookmarkEnd w:id="605"/>
    <w:p>
      <w:pPr>
        <w:pStyle w:val="4"/>
        <w:rPr>
          <w:color w:val="auto"/>
        </w:rPr>
      </w:pPr>
      <w:bookmarkStart w:id="606" w:name="_Toc8975"/>
      <w:bookmarkStart w:id="607" w:name="_Toc513635028"/>
      <w:bookmarkStart w:id="608" w:name="_Toc513216378"/>
      <w:bookmarkStart w:id="609" w:name="_Toc361325785"/>
      <w:bookmarkStart w:id="610" w:name="_Toc362988482"/>
      <w:r>
        <w:rPr>
          <w:rFonts w:hint="eastAsia"/>
          <w:color w:val="auto"/>
        </w:rPr>
        <w:t>四、响应人基本情况表</w:t>
      </w:r>
      <w:bookmarkEnd w:id="606"/>
      <w:bookmarkEnd w:id="607"/>
      <w:bookmarkEnd w:id="608"/>
      <w:bookmarkEnd w:id="609"/>
      <w:bookmarkEnd w:id="610"/>
    </w:p>
    <w:tbl>
      <w:tblPr>
        <w:tblStyle w:val="89"/>
        <w:tblW w:w="102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8"/>
        <w:gridCol w:w="992"/>
        <w:gridCol w:w="1547"/>
        <w:gridCol w:w="1311"/>
        <w:gridCol w:w="1423"/>
        <w:gridCol w:w="1154"/>
        <w:gridCol w:w="1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double" w:color="auto" w:sz="4" w:space="0"/>
              <w:left w:val="double" w:color="auto" w:sz="4" w:space="0"/>
              <w:bottom w:val="single" w:color="auto" w:sz="6" w:space="0"/>
              <w:right w:val="single" w:color="auto" w:sz="6" w:space="0"/>
            </w:tcBorders>
            <w:vAlign w:val="center"/>
          </w:tcPr>
          <w:p>
            <w:pPr>
              <w:pStyle w:val="374"/>
              <w:rPr>
                <w:color w:val="auto"/>
              </w:rPr>
            </w:pPr>
            <w:r>
              <w:rPr>
                <w:rFonts w:hint="eastAsia"/>
                <w:color w:val="auto"/>
              </w:rPr>
              <w:t>响应人名称</w:t>
            </w:r>
          </w:p>
        </w:tc>
        <w:tc>
          <w:tcPr>
            <w:tcW w:w="8411" w:type="dxa"/>
            <w:gridSpan w:val="6"/>
            <w:tcBorders>
              <w:top w:val="double" w:color="auto" w:sz="4" w:space="0"/>
              <w:left w:val="single" w:color="auto" w:sz="6" w:space="0"/>
              <w:bottom w:val="single" w:color="auto" w:sz="6" w:space="0"/>
              <w:right w:val="double" w:color="auto" w:sz="4" w:space="0"/>
            </w:tcBorders>
            <w:vAlign w:val="center"/>
          </w:tcPr>
          <w:p>
            <w:pPr>
              <w:pStyle w:val="374"/>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注册地址</w:t>
            </w:r>
          </w:p>
        </w:tc>
        <w:tc>
          <w:tcPr>
            <w:tcW w:w="3850" w:type="dxa"/>
            <w:gridSpan w:val="3"/>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邮政编码</w:t>
            </w:r>
          </w:p>
        </w:tc>
        <w:tc>
          <w:tcPr>
            <w:tcW w:w="3138" w:type="dxa"/>
            <w:gridSpan w:val="2"/>
            <w:tcBorders>
              <w:top w:val="single" w:color="auto" w:sz="6" w:space="0"/>
              <w:left w:val="single" w:color="auto" w:sz="6" w:space="0"/>
              <w:bottom w:val="single" w:color="auto" w:sz="6" w:space="0"/>
              <w:right w:val="double" w:color="auto" w:sz="4" w:space="0"/>
            </w:tcBorders>
            <w:vAlign w:val="center"/>
          </w:tcPr>
          <w:p>
            <w:pPr>
              <w:pStyle w:val="374"/>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vMerge w:val="restart"/>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联系人</w:t>
            </w:r>
          </w:p>
        </w:tc>
        <w:tc>
          <w:tcPr>
            <w:tcW w:w="2858" w:type="dxa"/>
            <w:gridSpan w:val="2"/>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电话</w:t>
            </w:r>
          </w:p>
        </w:tc>
        <w:tc>
          <w:tcPr>
            <w:tcW w:w="3138" w:type="dxa"/>
            <w:gridSpan w:val="2"/>
            <w:tcBorders>
              <w:top w:val="single" w:color="auto" w:sz="6" w:space="0"/>
              <w:left w:val="single" w:color="auto" w:sz="6" w:space="0"/>
              <w:bottom w:val="single" w:color="auto" w:sz="6" w:space="0"/>
              <w:right w:val="double" w:color="auto" w:sz="4" w:space="0"/>
            </w:tcBorders>
            <w:vAlign w:val="center"/>
          </w:tcPr>
          <w:p>
            <w:pPr>
              <w:pStyle w:val="374"/>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148" w:hRule="atLeast"/>
          <w:jc w:val="center"/>
        </w:trPr>
        <w:tc>
          <w:tcPr>
            <w:tcW w:w="1808" w:type="dxa"/>
            <w:vMerge w:val="continue"/>
            <w:tcBorders>
              <w:top w:val="single" w:color="auto" w:sz="6" w:space="0"/>
              <w:left w:val="double" w:color="auto" w:sz="4" w:space="0"/>
              <w:bottom w:val="single" w:color="auto" w:sz="6" w:space="0"/>
              <w:right w:val="single" w:color="auto" w:sz="6" w:space="0"/>
            </w:tcBorders>
            <w:vAlign w:val="center"/>
          </w:tcPr>
          <w:p>
            <w:pPr>
              <w:pStyle w:val="374"/>
              <w:rPr>
                <w:color w:val="auto"/>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传真</w:t>
            </w:r>
          </w:p>
        </w:tc>
        <w:tc>
          <w:tcPr>
            <w:tcW w:w="2858" w:type="dxa"/>
            <w:gridSpan w:val="2"/>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423"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网址</w:t>
            </w:r>
          </w:p>
        </w:tc>
        <w:tc>
          <w:tcPr>
            <w:tcW w:w="3138" w:type="dxa"/>
            <w:gridSpan w:val="2"/>
            <w:tcBorders>
              <w:top w:val="single" w:color="auto" w:sz="6" w:space="0"/>
              <w:left w:val="single" w:color="auto" w:sz="6" w:space="0"/>
              <w:bottom w:val="single" w:color="auto" w:sz="6" w:space="0"/>
              <w:right w:val="double" w:color="auto" w:sz="4" w:space="0"/>
            </w:tcBorders>
            <w:vAlign w:val="center"/>
          </w:tcPr>
          <w:p>
            <w:pPr>
              <w:pStyle w:val="374"/>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组织结构</w:t>
            </w:r>
          </w:p>
        </w:tc>
        <w:tc>
          <w:tcPr>
            <w:tcW w:w="8411" w:type="dxa"/>
            <w:gridSpan w:val="6"/>
            <w:tcBorders>
              <w:top w:val="single" w:color="auto" w:sz="6" w:space="0"/>
              <w:left w:val="single" w:color="auto" w:sz="6" w:space="0"/>
              <w:bottom w:val="single" w:color="auto" w:sz="6" w:space="0"/>
              <w:right w:val="double" w:color="auto" w:sz="4" w:space="0"/>
            </w:tcBorders>
            <w:vAlign w:val="center"/>
          </w:tcPr>
          <w:p>
            <w:pPr>
              <w:pStyle w:val="374"/>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法定代表人</w:t>
            </w:r>
          </w:p>
        </w:tc>
        <w:tc>
          <w:tcPr>
            <w:tcW w:w="992"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姓名</w:t>
            </w:r>
          </w:p>
        </w:tc>
        <w:tc>
          <w:tcPr>
            <w:tcW w:w="1547" w:type="dxa"/>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311"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技术职称</w:t>
            </w:r>
          </w:p>
        </w:tc>
        <w:tc>
          <w:tcPr>
            <w:tcW w:w="1423" w:type="dxa"/>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154"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电话</w:t>
            </w:r>
          </w:p>
        </w:tc>
        <w:tc>
          <w:tcPr>
            <w:tcW w:w="1984" w:type="dxa"/>
            <w:tcBorders>
              <w:top w:val="single" w:color="auto" w:sz="6" w:space="0"/>
              <w:left w:val="single" w:color="auto" w:sz="6" w:space="0"/>
              <w:bottom w:val="single" w:color="auto" w:sz="6"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技术负责人</w:t>
            </w:r>
          </w:p>
        </w:tc>
        <w:tc>
          <w:tcPr>
            <w:tcW w:w="992"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姓名</w:t>
            </w:r>
          </w:p>
        </w:tc>
        <w:tc>
          <w:tcPr>
            <w:tcW w:w="1547" w:type="dxa"/>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311"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技术职称</w:t>
            </w:r>
          </w:p>
        </w:tc>
        <w:tc>
          <w:tcPr>
            <w:tcW w:w="1423" w:type="dxa"/>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1154" w:type="dxa"/>
            <w:tcBorders>
              <w:top w:val="single" w:color="auto" w:sz="6" w:space="0"/>
              <w:left w:val="single" w:color="auto" w:sz="6" w:space="0"/>
              <w:bottom w:val="single" w:color="auto" w:sz="6" w:space="0"/>
              <w:right w:val="single" w:color="auto" w:sz="6" w:space="0"/>
            </w:tcBorders>
            <w:vAlign w:val="center"/>
          </w:tcPr>
          <w:p>
            <w:pPr>
              <w:pStyle w:val="374"/>
              <w:rPr>
                <w:color w:val="auto"/>
              </w:rPr>
            </w:pPr>
            <w:r>
              <w:rPr>
                <w:rFonts w:hint="eastAsia"/>
                <w:color w:val="auto"/>
              </w:rPr>
              <w:t>电话</w:t>
            </w:r>
          </w:p>
        </w:tc>
        <w:tc>
          <w:tcPr>
            <w:tcW w:w="1984" w:type="dxa"/>
            <w:tcBorders>
              <w:top w:val="single" w:color="auto" w:sz="6" w:space="0"/>
              <w:left w:val="single" w:color="auto" w:sz="6" w:space="0"/>
              <w:bottom w:val="single" w:color="auto" w:sz="6"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成立时间</w:t>
            </w:r>
          </w:p>
        </w:tc>
        <w:tc>
          <w:tcPr>
            <w:tcW w:w="2539" w:type="dxa"/>
            <w:gridSpan w:val="2"/>
            <w:tcBorders>
              <w:top w:val="single" w:color="auto" w:sz="6" w:space="0"/>
              <w:left w:val="single" w:color="auto" w:sz="6" w:space="0"/>
              <w:bottom w:val="single" w:color="auto" w:sz="6" w:space="0"/>
              <w:right w:val="single" w:color="auto" w:sz="6" w:space="0"/>
            </w:tcBorders>
            <w:vAlign w:val="center"/>
          </w:tcPr>
          <w:p>
            <w:pPr>
              <w:pStyle w:val="374"/>
              <w:rPr>
                <w:color w:val="auto"/>
              </w:rPr>
            </w:pPr>
          </w:p>
        </w:tc>
        <w:tc>
          <w:tcPr>
            <w:tcW w:w="5872" w:type="dxa"/>
            <w:gridSpan w:val="4"/>
            <w:tcBorders>
              <w:top w:val="single" w:color="auto" w:sz="6" w:space="0"/>
              <w:left w:val="single" w:color="auto" w:sz="6" w:space="0"/>
              <w:bottom w:val="single" w:color="auto" w:sz="6" w:space="0"/>
              <w:right w:val="double" w:color="auto" w:sz="4" w:space="0"/>
            </w:tcBorders>
            <w:vAlign w:val="center"/>
          </w:tcPr>
          <w:p>
            <w:pPr>
              <w:pStyle w:val="374"/>
              <w:rPr>
                <w:color w:val="auto"/>
              </w:rPr>
            </w:pPr>
            <w:r>
              <w:rPr>
                <w:rFonts w:hint="eastAsia"/>
                <w:color w:val="auto"/>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企业资质等级</w:t>
            </w:r>
          </w:p>
        </w:tc>
        <w:tc>
          <w:tcPr>
            <w:tcW w:w="8411" w:type="dxa"/>
            <w:gridSpan w:val="6"/>
            <w:tcBorders>
              <w:top w:val="single" w:color="auto" w:sz="6" w:space="0"/>
              <w:left w:val="single" w:color="auto" w:sz="6" w:space="0"/>
              <w:bottom w:val="single" w:color="auto" w:sz="4"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营业执照号</w:t>
            </w:r>
          </w:p>
        </w:tc>
        <w:tc>
          <w:tcPr>
            <w:tcW w:w="8411" w:type="dxa"/>
            <w:gridSpan w:val="6"/>
            <w:tcBorders>
              <w:top w:val="single" w:color="auto" w:sz="4" w:space="0"/>
              <w:left w:val="single" w:color="auto" w:sz="6" w:space="0"/>
              <w:bottom w:val="single" w:color="auto" w:sz="4"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注册资金</w:t>
            </w:r>
          </w:p>
        </w:tc>
        <w:tc>
          <w:tcPr>
            <w:tcW w:w="8411" w:type="dxa"/>
            <w:gridSpan w:val="6"/>
            <w:tcBorders>
              <w:top w:val="single" w:color="auto" w:sz="4" w:space="0"/>
              <w:left w:val="single" w:color="auto" w:sz="6" w:space="0"/>
              <w:bottom w:val="single" w:color="auto" w:sz="4"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开户银行</w:t>
            </w:r>
          </w:p>
        </w:tc>
        <w:tc>
          <w:tcPr>
            <w:tcW w:w="8411" w:type="dxa"/>
            <w:gridSpan w:val="6"/>
            <w:tcBorders>
              <w:top w:val="single" w:color="auto" w:sz="4" w:space="0"/>
              <w:left w:val="single" w:color="auto" w:sz="6" w:space="0"/>
              <w:bottom w:val="single" w:color="auto" w:sz="4"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账号</w:t>
            </w:r>
          </w:p>
        </w:tc>
        <w:tc>
          <w:tcPr>
            <w:tcW w:w="8411" w:type="dxa"/>
            <w:gridSpan w:val="6"/>
            <w:tcBorders>
              <w:top w:val="single" w:color="auto" w:sz="4" w:space="0"/>
              <w:left w:val="single" w:color="auto" w:sz="6" w:space="0"/>
              <w:bottom w:val="single" w:color="auto" w:sz="6"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808" w:type="dxa"/>
            <w:tcBorders>
              <w:top w:val="single" w:color="auto" w:sz="6" w:space="0"/>
              <w:left w:val="double" w:color="auto" w:sz="4" w:space="0"/>
              <w:bottom w:val="single" w:color="auto" w:sz="6" w:space="0"/>
              <w:right w:val="single" w:color="auto" w:sz="6" w:space="0"/>
            </w:tcBorders>
            <w:vAlign w:val="center"/>
          </w:tcPr>
          <w:p>
            <w:pPr>
              <w:pStyle w:val="374"/>
              <w:rPr>
                <w:color w:val="auto"/>
              </w:rPr>
            </w:pPr>
            <w:r>
              <w:rPr>
                <w:rFonts w:hint="eastAsia"/>
                <w:color w:val="auto"/>
              </w:rPr>
              <w:t>经营范围</w:t>
            </w:r>
          </w:p>
        </w:tc>
        <w:tc>
          <w:tcPr>
            <w:tcW w:w="8411" w:type="dxa"/>
            <w:gridSpan w:val="6"/>
            <w:tcBorders>
              <w:top w:val="single" w:color="auto" w:sz="6" w:space="0"/>
              <w:left w:val="single" w:color="auto" w:sz="6" w:space="0"/>
              <w:bottom w:val="single" w:color="auto" w:sz="6" w:space="0"/>
              <w:right w:val="double" w:color="auto" w:sz="4" w:space="0"/>
            </w:tcBorders>
            <w:vAlign w:val="center"/>
          </w:tcPr>
          <w:p>
            <w:pPr>
              <w:pStyle w:val="374"/>
              <w:rPr>
                <w:b/>
                <w:bCs/>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808" w:type="dxa"/>
            <w:tcBorders>
              <w:top w:val="single" w:color="auto" w:sz="6" w:space="0"/>
              <w:left w:val="double" w:color="auto" w:sz="4" w:space="0"/>
              <w:bottom w:val="double" w:color="auto" w:sz="4" w:space="0"/>
              <w:right w:val="single" w:color="auto" w:sz="6" w:space="0"/>
            </w:tcBorders>
            <w:vAlign w:val="center"/>
          </w:tcPr>
          <w:p>
            <w:pPr>
              <w:pStyle w:val="374"/>
              <w:rPr>
                <w:color w:val="auto"/>
              </w:rPr>
            </w:pPr>
            <w:r>
              <w:rPr>
                <w:rFonts w:hint="eastAsia"/>
                <w:color w:val="auto"/>
              </w:rPr>
              <w:t>备注</w:t>
            </w:r>
          </w:p>
        </w:tc>
        <w:tc>
          <w:tcPr>
            <w:tcW w:w="8411" w:type="dxa"/>
            <w:gridSpan w:val="6"/>
            <w:tcBorders>
              <w:top w:val="single" w:color="auto" w:sz="6" w:space="0"/>
              <w:left w:val="single" w:color="auto" w:sz="6" w:space="0"/>
              <w:bottom w:val="double" w:color="auto" w:sz="4" w:space="0"/>
              <w:right w:val="double" w:color="auto" w:sz="4" w:space="0"/>
            </w:tcBorders>
            <w:vAlign w:val="center"/>
          </w:tcPr>
          <w:p>
            <w:pPr>
              <w:pStyle w:val="374"/>
              <w:rPr>
                <w:color w:val="auto"/>
              </w:rPr>
            </w:pPr>
          </w:p>
        </w:tc>
      </w:tr>
    </w:tbl>
    <w:p>
      <w:pPr>
        <w:ind w:firstLine="0" w:firstLineChars="0"/>
        <w:rPr>
          <w:rFonts w:ascii="宋体"/>
          <w:color w:val="auto"/>
          <w:sz w:val="28"/>
        </w:rPr>
      </w:pPr>
    </w:p>
    <w:p>
      <w:pPr>
        <w:ind w:firstLine="480"/>
        <w:rPr>
          <w:rFonts w:ascii="宋体"/>
          <w:color w:val="auto"/>
        </w:rPr>
      </w:pPr>
      <w:r>
        <w:rPr>
          <w:rFonts w:hint="eastAsia" w:ascii="宋体" w:hAnsi="宋体"/>
          <w:color w:val="auto"/>
        </w:rPr>
        <w:t>响应人名称：</w:t>
      </w:r>
      <w:r>
        <w:rPr>
          <w:rFonts w:ascii="宋体" w:hAnsi="宋体"/>
          <w:color w:val="auto"/>
        </w:rPr>
        <w:t xml:space="preserve">        </w:t>
      </w:r>
      <w:r>
        <w:rPr>
          <w:rFonts w:hint="eastAsia" w:ascii="宋体" w:hAnsi="宋体"/>
          <w:color w:val="auto"/>
        </w:rPr>
        <w:t>（盖章）</w:t>
      </w:r>
    </w:p>
    <w:p>
      <w:pPr>
        <w:ind w:firstLine="480"/>
        <w:rPr>
          <w:rFonts w:ascii="宋体"/>
          <w:color w:val="auto"/>
        </w:rPr>
      </w:pPr>
      <w:r>
        <w:rPr>
          <w:rFonts w:hint="eastAsia" w:ascii="宋体" w:hAnsi="宋体"/>
          <w:color w:val="auto"/>
        </w:rPr>
        <w:t>法定代表人或授权代表（签字）：</w:t>
      </w:r>
    </w:p>
    <w:p>
      <w:pPr>
        <w:ind w:firstLine="480"/>
        <w:rPr>
          <w:rFonts w:ascii="宋体" w:hAnsi="宋体"/>
          <w:color w:val="auto"/>
        </w:rPr>
      </w:pPr>
      <w:r>
        <w:rPr>
          <w:rFonts w:hint="eastAsia" w:ascii="宋体" w:hAnsi="宋体"/>
          <w:color w:val="auto"/>
        </w:rPr>
        <w:t>比选日期：</w:t>
      </w:r>
    </w:p>
    <w:p>
      <w:pPr>
        <w:pStyle w:val="4"/>
        <w:rPr>
          <w:color w:val="auto"/>
        </w:rPr>
      </w:pPr>
      <w:bookmarkStart w:id="611" w:name="_Toc513216379"/>
      <w:bookmarkStart w:id="612" w:name="_Toc362988484"/>
      <w:bookmarkStart w:id="613" w:name="_Toc361325787"/>
      <w:bookmarkStart w:id="614" w:name="_Toc513635029"/>
      <w:r>
        <w:rPr>
          <w:color w:val="auto"/>
        </w:rPr>
        <w:br w:type="page"/>
      </w:r>
      <w:bookmarkEnd w:id="611"/>
      <w:bookmarkEnd w:id="612"/>
      <w:bookmarkEnd w:id="613"/>
      <w:bookmarkEnd w:id="614"/>
      <w:bookmarkStart w:id="615" w:name="_Toc362988485"/>
      <w:bookmarkStart w:id="616" w:name="_Toc513635030"/>
      <w:bookmarkStart w:id="617" w:name="_Toc513216380"/>
      <w:bookmarkStart w:id="618" w:name="_Toc217446089"/>
      <w:bookmarkStart w:id="619" w:name="_Toc361325788"/>
      <w:bookmarkStart w:id="620" w:name="_Toc32566"/>
      <w:r>
        <w:rPr>
          <w:rFonts w:hint="eastAsia"/>
          <w:color w:val="auto"/>
        </w:rPr>
        <w:t>五、响应人类似项目业绩一览表</w:t>
      </w:r>
      <w:bookmarkEnd w:id="615"/>
      <w:bookmarkEnd w:id="616"/>
      <w:bookmarkEnd w:id="617"/>
      <w:bookmarkEnd w:id="618"/>
      <w:bookmarkEnd w:id="619"/>
      <w:bookmarkEnd w:id="620"/>
    </w:p>
    <w:p>
      <w:pPr>
        <w:spacing w:line="400" w:lineRule="exact"/>
        <w:ind w:firstLine="480"/>
        <w:rPr>
          <w:rFonts w:ascii="宋体" w:cs="Arial"/>
          <w:color w:val="auto"/>
        </w:rPr>
      </w:pPr>
    </w:p>
    <w:tbl>
      <w:tblPr>
        <w:tblStyle w:val="89"/>
        <w:tblW w:w="95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717"/>
        <w:gridCol w:w="2180"/>
        <w:gridCol w:w="3260"/>
        <w:gridCol w:w="24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double" w:color="auto" w:sz="4" w:space="0"/>
              <w:left w:val="double" w:color="auto" w:sz="4" w:space="0"/>
              <w:bottom w:val="single" w:color="auto" w:sz="6" w:space="0"/>
              <w:right w:val="single" w:color="auto" w:sz="6" w:space="0"/>
            </w:tcBorders>
            <w:vAlign w:val="center"/>
          </w:tcPr>
          <w:p>
            <w:pPr>
              <w:spacing w:line="400" w:lineRule="exact"/>
              <w:ind w:firstLine="120" w:firstLineChars="50"/>
              <w:jc w:val="center"/>
              <w:rPr>
                <w:rFonts w:ascii="宋体" w:cs="Arial"/>
                <w:b/>
                <w:color w:val="auto"/>
              </w:rPr>
            </w:pPr>
            <w:r>
              <w:rPr>
                <w:rFonts w:hint="eastAsia" w:ascii="宋体" w:hAnsi="宋体" w:cs="Arial"/>
                <w:b/>
                <w:color w:val="auto"/>
              </w:rPr>
              <w:t>年份</w:t>
            </w:r>
          </w:p>
        </w:tc>
        <w:tc>
          <w:tcPr>
            <w:tcW w:w="2180" w:type="dxa"/>
            <w:tcBorders>
              <w:top w:val="double" w:color="auto" w:sz="4" w:space="0"/>
              <w:left w:val="single" w:color="auto" w:sz="6" w:space="0"/>
              <w:bottom w:val="single" w:color="auto" w:sz="6" w:space="0"/>
              <w:right w:val="single" w:color="auto" w:sz="6" w:space="0"/>
            </w:tcBorders>
            <w:vAlign w:val="center"/>
          </w:tcPr>
          <w:p>
            <w:pPr>
              <w:spacing w:line="400" w:lineRule="exact"/>
              <w:ind w:firstLine="482"/>
              <w:jc w:val="center"/>
              <w:rPr>
                <w:rFonts w:ascii="宋体" w:cs="Arial"/>
                <w:b/>
                <w:color w:val="auto"/>
              </w:rPr>
            </w:pPr>
            <w:r>
              <w:rPr>
                <w:rFonts w:hint="eastAsia" w:ascii="宋体" w:hAnsi="宋体" w:cs="Arial"/>
                <w:b/>
                <w:color w:val="auto"/>
              </w:rPr>
              <w:t>用户名称</w:t>
            </w:r>
          </w:p>
        </w:tc>
        <w:tc>
          <w:tcPr>
            <w:tcW w:w="3260" w:type="dxa"/>
            <w:tcBorders>
              <w:top w:val="double" w:color="auto" w:sz="4" w:space="0"/>
              <w:left w:val="single" w:color="auto" w:sz="6" w:space="0"/>
              <w:bottom w:val="single" w:color="auto" w:sz="6" w:space="0"/>
              <w:right w:val="single" w:color="auto" w:sz="6" w:space="0"/>
            </w:tcBorders>
            <w:vAlign w:val="center"/>
          </w:tcPr>
          <w:p>
            <w:pPr>
              <w:spacing w:line="400" w:lineRule="exact"/>
              <w:ind w:firstLine="482"/>
              <w:jc w:val="center"/>
              <w:rPr>
                <w:rFonts w:ascii="宋体" w:cs="Arial"/>
                <w:b/>
                <w:color w:val="auto"/>
              </w:rPr>
            </w:pPr>
            <w:r>
              <w:rPr>
                <w:rFonts w:hint="eastAsia" w:ascii="宋体" w:hAnsi="宋体" w:cs="Arial"/>
                <w:b/>
                <w:color w:val="auto"/>
              </w:rPr>
              <w:t>项目名称</w:t>
            </w:r>
          </w:p>
        </w:tc>
        <w:tc>
          <w:tcPr>
            <w:tcW w:w="2420" w:type="dxa"/>
            <w:tcBorders>
              <w:top w:val="double" w:color="auto" w:sz="4" w:space="0"/>
              <w:left w:val="single" w:color="auto" w:sz="6" w:space="0"/>
              <w:bottom w:val="single" w:color="auto" w:sz="6" w:space="0"/>
              <w:right w:val="double" w:color="auto" w:sz="4" w:space="0"/>
            </w:tcBorders>
            <w:vAlign w:val="center"/>
          </w:tcPr>
          <w:p>
            <w:pPr>
              <w:spacing w:line="400" w:lineRule="exact"/>
              <w:ind w:firstLine="482"/>
              <w:jc w:val="center"/>
              <w:rPr>
                <w:rFonts w:ascii="宋体" w:cs="Arial"/>
                <w:b/>
                <w:color w:val="auto"/>
              </w:rPr>
            </w:pPr>
            <w:r>
              <w:rPr>
                <w:rFonts w:hint="eastAsia" w:ascii="宋体" w:hAnsi="宋体" w:cs="Arial"/>
                <w:b/>
                <w:color w:val="auto"/>
              </w:rPr>
              <w:t>合同金额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17" w:type="dxa"/>
            <w:tcBorders>
              <w:top w:val="single" w:color="auto" w:sz="6" w:space="0"/>
              <w:left w:val="double" w:color="auto" w:sz="4"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single" w:color="auto" w:sz="6" w:space="0"/>
              <w:right w:val="double" w:color="auto" w:sz="4" w:space="0"/>
            </w:tcBorders>
            <w:vAlign w:val="center"/>
          </w:tcPr>
          <w:p>
            <w:pPr>
              <w:spacing w:line="400" w:lineRule="exact"/>
              <w:ind w:firstLine="480"/>
              <w:jc w:val="center"/>
              <w:rPr>
                <w:rFonts w:asci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717" w:type="dxa"/>
            <w:tcBorders>
              <w:top w:val="single" w:color="auto" w:sz="6" w:space="0"/>
              <w:left w:val="double" w:color="auto" w:sz="4" w:space="0"/>
              <w:bottom w:val="double" w:color="auto" w:sz="4" w:space="0"/>
              <w:right w:val="single" w:color="auto" w:sz="6" w:space="0"/>
            </w:tcBorders>
            <w:vAlign w:val="center"/>
          </w:tcPr>
          <w:p>
            <w:pPr>
              <w:spacing w:line="400" w:lineRule="exact"/>
              <w:ind w:firstLine="480"/>
              <w:jc w:val="center"/>
              <w:rPr>
                <w:rFonts w:ascii="宋体" w:cs="Arial"/>
                <w:color w:val="auto"/>
              </w:rPr>
            </w:pPr>
          </w:p>
        </w:tc>
        <w:tc>
          <w:tcPr>
            <w:tcW w:w="2180" w:type="dxa"/>
            <w:tcBorders>
              <w:top w:val="single" w:color="auto" w:sz="6" w:space="0"/>
              <w:left w:val="single" w:color="auto" w:sz="6" w:space="0"/>
              <w:bottom w:val="double" w:color="auto" w:sz="4" w:space="0"/>
              <w:right w:val="single" w:color="auto" w:sz="6" w:space="0"/>
            </w:tcBorders>
            <w:vAlign w:val="center"/>
          </w:tcPr>
          <w:p>
            <w:pPr>
              <w:spacing w:line="400" w:lineRule="exact"/>
              <w:ind w:firstLine="480"/>
              <w:jc w:val="center"/>
              <w:rPr>
                <w:rFonts w:ascii="宋体" w:cs="Arial"/>
                <w:color w:val="auto"/>
              </w:rPr>
            </w:pPr>
          </w:p>
        </w:tc>
        <w:tc>
          <w:tcPr>
            <w:tcW w:w="3260" w:type="dxa"/>
            <w:tcBorders>
              <w:top w:val="single" w:color="auto" w:sz="6" w:space="0"/>
              <w:left w:val="single" w:color="auto" w:sz="6" w:space="0"/>
              <w:bottom w:val="double" w:color="auto" w:sz="4" w:space="0"/>
              <w:right w:val="single" w:color="auto" w:sz="6" w:space="0"/>
            </w:tcBorders>
            <w:vAlign w:val="center"/>
          </w:tcPr>
          <w:p>
            <w:pPr>
              <w:spacing w:line="400" w:lineRule="exact"/>
              <w:ind w:firstLine="480"/>
              <w:jc w:val="center"/>
              <w:rPr>
                <w:rFonts w:ascii="宋体" w:cs="Arial"/>
                <w:color w:val="auto"/>
              </w:rPr>
            </w:pPr>
          </w:p>
        </w:tc>
        <w:tc>
          <w:tcPr>
            <w:tcW w:w="2420" w:type="dxa"/>
            <w:tcBorders>
              <w:top w:val="single" w:color="auto" w:sz="6" w:space="0"/>
              <w:left w:val="single" w:color="auto" w:sz="6" w:space="0"/>
              <w:bottom w:val="double" w:color="auto" w:sz="4" w:space="0"/>
              <w:right w:val="double" w:color="auto" w:sz="4" w:space="0"/>
            </w:tcBorders>
            <w:vAlign w:val="center"/>
          </w:tcPr>
          <w:p>
            <w:pPr>
              <w:spacing w:line="400" w:lineRule="exact"/>
              <w:ind w:firstLine="480"/>
              <w:jc w:val="center"/>
              <w:rPr>
                <w:rFonts w:ascii="宋体" w:cs="Arial"/>
                <w:color w:val="auto"/>
              </w:rPr>
            </w:pPr>
          </w:p>
        </w:tc>
      </w:tr>
    </w:tbl>
    <w:p>
      <w:pPr>
        <w:ind w:firstLine="480"/>
        <w:rPr>
          <w:color w:val="auto"/>
        </w:rPr>
      </w:pPr>
      <w:r>
        <w:rPr>
          <w:rFonts w:hint="eastAsia"/>
          <w:color w:val="auto"/>
        </w:rPr>
        <w:t>注：响应人（仅限于比选人自己实施的）以上业绩需提供有关书面证明材料。</w:t>
      </w:r>
    </w:p>
    <w:p>
      <w:pPr>
        <w:ind w:firstLine="480"/>
        <w:rPr>
          <w:color w:val="auto"/>
        </w:rPr>
      </w:pPr>
    </w:p>
    <w:p>
      <w:pPr>
        <w:ind w:firstLine="480"/>
        <w:rPr>
          <w:color w:val="auto"/>
        </w:rPr>
      </w:pPr>
    </w:p>
    <w:p>
      <w:pPr>
        <w:ind w:firstLine="480"/>
        <w:rPr>
          <w:color w:val="auto"/>
        </w:rPr>
      </w:pPr>
      <w:r>
        <w:rPr>
          <w:rFonts w:hint="eastAsia"/>
          <w:color w:val="auto"/>
        </w:rPr>
        <w:t>响应人名称：</w:t>
      </w:r>
      <w:r>
        <w:rPr>
          <w:color w:val="auto"/>
        </w:rPr>
        <w:t xml:space="preserve">         </w:t>
      </w:r>
      <w:r>
        <w:rPr>
          <w:rFonts w:hint="eastAsia"/>
          <w:color w:val="auto"/>
        </w:rPr>
        <w:t>（盖章）</w:t>
      </w:r>
    </w:p>
    <w:p>
      <w:pPr>
        <w:ind w:firstLine="480"/>
        <w:rPr>
          <w:color w:val="auto"/>
        </w:rPr>
      </w:pPr>
      <w:r>
        <w:rPr>
          <w:rFonts w:hint="eastAsia"/>
          <w:color w:val="auto"/>
        </w:rPr>
        <w:t>法定代表人或授权代表（签字）</w:t>
      </w:r>
      <w:r>
        <w:rPr>
          <w:rFonts w:hint="eastAsia"/>
          <w:bCs/>
          <w:color w:val="auto"/>
        </w:rPr>
        <w:t>：</w:t>
      </w:r>
    </w:p>
    <w:p>
      <w:pPr>
        <w:ind w:firstLine="480"/>
        <w:rPr>
          <w:b/>
          <w:color w:val="auto"/>
        </w:rPr>
      </w:pPr>
      <w:r>
        <w:rPr>
          <w:rFonts w:hint="eastAsia"/>
          <w:bCs/>
          <w:color w:val="auto"/>
        </w:rPr>
        <w:t>比选日期</w:t>
      </w:r>
      <w:r>
        <w:rPr>
          <w:bCs/>
          <w:color w:val="auto"/>
        </w:rPr>
        <w:t>:</w:t>
      </w:r>
    </w:p>
    <w:p>
      <w:pPr>
        <w:spacing w:line="400" w:lineRule="exact"/>
        <w:ind w:firstLine="480"/>
        <w:rPr>
          <w:color w:val="auto"/>
        </w:rPr>
      </w:pPr>
    </w:p>
    <w:p>
      <w:pPr>
        <w:spacing w:line="400" w:lineRule="exact"/>
        <w:ind w:firstLine="480"/>
        <w:rPr>
          <w:color w:val="auto"/>
        </w:rPr>
      </w:pPr>
    </w:p>
    <w:p>
      <w:pPr>
        <w:spacing w:line="400" w:lineRule="exact"/>
        <w:ind w:firstLine="480"/>
        <w:rPr>
          <w:color w:val="auto"/>
        </w:rPr>
      </w:pPr>
    </w:p>
    <w:p>
      <w:pPr>
        <w:spacing w:line="400" w:lineRule="exact"/>
        <w:ind w:firstLine="480"/>
        <w:rPr>
          <w:color w:val="auto"/>
        </w:rPr>
      </w:pPr>
    </w:p>
    <w:p>
      <w:pPr>
        <w:pStyle w:val="4"/>
        <w:rPr>
          <w:color w:val="auto"/>
        </w:rPr>
      </w:pPr>
      <w:bookmarkStart w:id="621" w:name="_Toc217446090"/>
      <w:bookmarkStart w:id="622" w:name="_Toc362988486"/>
      <w:bookmarkStart w:id="623" w:name="_Toc361325789"/>
      <w:bookmarkStart w:id="624" w:name="_Toc513216381"/>
      <w:bookmarkStart w:id="625" w:name="_Toc3218"/>
      <w:bookmarkStart w:id="626" w:name="_Toc513635031"/>
      <w:r>
        <w:rPr>
          <w:rFonts w:hint="eastAsia"/>
          <w:color w:val="auto"/>
        </w:rPr>
        <w:t>六、</w:t>
      </w:r>
      <w:bookmarkEnd w:id="621"/>
      <w:bookmarkEnd w:id="622"/>
      <w:bookmarkEnd w:id="623"/>
      <w:r>
        <w:rPr>
          <w:rFonts w:hint="eastAsia"/>
          <w:color w:val="auto"/>
        </w:rPr>
        <w:t>服务应答表</w:t>
      </w:r>
      <w:bookmarkEnd w:id="624"/>
      <w:bookmarkEnd w:id="625"/>
      <w:bookmarkEnd w:id="626"/>
    </w:p>
    <w:p>
      <w:pPr>
        <w:autoSpaceDE w:val="0"/>
        <w:autoSpaceDN w:val="0"/>
        <w:adjustRightInd w:val="0"/>
        <w:spacing w:line="400" w:lineRule="exact"/>
        <w:ind w:firstLine="562"/>
        <w:jc w:val="center"/>
        <w:rPr>
          <w:rFonts w:ascii="宋体"/>
          <w:b/>
          <w:bCs/>
          <w:color w:val="auto"/>
          <w:kern w:val="0"/>
          <w:sz w:val="28"/>
        </w:rPr>
      </w:pPr>
    </w:p>
    <w:p>
      <w:pPr>
        <w:spacing w:line="400" w:lineRule="exact"/>
        <w:ind w:firstLine="480"/>
        <w:rPr>
          <w:rFonts w:ascii="宋体"/>
          <w:color w:val="auto"/>
          <w:szCs w:val="21"/>
        </w:rPr>
      </w:pPr>
      <w:r>
        <w:rPr>
          <w:rFonts w:hint="eastAsia" w:ascii="宋体" w:hAnsi="宋体"/>
          <w:color w:val="auto"/>
        </w:rPr>
        <w:t>采购项目编号：</w:t>
      </w:r>
    </w:p>
    <w:tbl>
      <w:tblPr>
        <w:tblStyle w:val="89"/>
        <w:tblW w:w="9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4"/>
        <w:gridCol w:w="2317"/>
        <w:gridCol w:w="2126"/>
        <w:gridCol w:w="3119"/>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944" w:type="dxa"/>
            <w:tcBorders>
              <w:top w:val="double" w:color="auto" w:sz="4" w:space="0"/>
              <w:left w:val="double" w:color="auto" w:sz="4" w:space="0"/>
              <w:bottom w:val="single" w:color="auto" w:sz="6" w:space="0"/>
              <w:right w:val="single" w:color="auto" w:sz="6" w:space="0"/>
            </w:tcBorders>
            <w:vAlign w:val="center"/>
          </w:tcPr>
          <w:p>
            <w:pPr>
              <w:pStyle w:val="374"/>
              <w:jc w:val="center"/>
              <w:rPr>
                <w:color w:val="auto"/>
              </w:rPr>
            </w:pPr>
            <w:r>
              <w:rPr>
                <w:rFonts w:hint="eastAsia"/>
                <w:color w:val="auto"/>
              </w:rPr>
              <w:t>序号</w:t>
            </w:r>
          </w:p>
        </w:tc>
        <w:tc>
          <w:tcPr>
            <w:tcW w:w="2317" w:type="dxa"/>
            <w:tcBorders>
              <w:top w:val="double" w:color="auto" w:sz="4" w:space="0"/>
              <w:left w:val="single" w:color="auto" w:sz="6" w:space="0"/>
              <w:bottom w:val="single" w:color="auto" w:sz="6" w:space="0"/>
              <w:right w:val="single" w:color="auto" w:sz="6" w:space="0"/>
            </w:tcBorders>
            <w:vAlign w:val="center"/>
          </w:tcPr>
          <w:p>
            <w:pPr>
              <w:pStyle w:val="374"/>
              <w:jc w:val="center"/>
              <w:rPr>
                <w:color w:val="auto"/>
              </w:rPr>
            </w:pPr>
            <w:r>
              <w:rPr>
                <w:rFonts w:hint="eastAsia"/>
                <w:color w:val="auto"/>
              </w:rPr>
              <w:t>比选文件条目号</w:t>
            </w:r>
          </w:p>
        </w:tc>
        <w:tc>
          <w:tcPr>
            <w:tcW w:w="2126" w:type="dxa"/>
            <w:tcBorders>
              <w:top w:val="double" w:color="auto" w:sz="4" w:space="0"/>
              <w:left w:val="single" w:color="auto" w:sz="6" w:space="0"/>
              <w:bottom w:val="single" w:color="auto" w:sz="6" w:space="0"/>
              <w:right w:val="single" w:color="auto" w:sz="6" w:space="0"/>
            </w:tcBorders>
            <w:vAlign w:val="center"/>
          </w:tcPr>
          <w:p>
            <w:pPr>
              <w:pStyle w:val="374"/>
              <w:jc w:val="center"/>
              <w:rPr>
                <w:color w:val="auto"/>
              </w:rPr>
            </w:pPr>
            <w:r>
              <w:rPr>
                <w:rFonts w:hint="eastAsia"/>
                <w:color w:val="auto"/>
              </w:rPr>
              <w:t>比选文件要求</w:t>
            </w:r>
          </w:p>
        </w:tc>
        <w:tc>
          <w:tcPr>
            <w:tcW w:w="3119" w:type="dxa"/>
            <w:tcBorders>
              <w:top w:val="double" w:color="auto" w:sz="4" w:space="0"/>
              <w:left w:val="single" w:color="auto" w:sz="6" w:space="0"/>
              <w:bottom w:val="single" w:color="auto" w:sz="6" w:space="0"/>
              <w:right w:val="single" w:color="auto" w:sz="6" w:space="0"/>
            </w:tcBorders>
            <w:vAlign w:val="center"/>
          </w:tcPr>
          <w:p>
            <w:pPr>
              <w:pStyle w:val="374"/>
              <w:jc w:val="center"/>
              <w:rPr>
                <w:color w:val="auto"/>
              </w:rPr>
            </w:pPr>
            <w:r>
              <w:rPr>
                <w:rFonts w:hint="eastAsia"/>
                <w:color w:val="auto"/>
              </w:rPr>
              <w:t>响应文件的应答</w:t>
            </w:r>
          </w:p>
        </w:tc>
        <w:tc>
          <w:tcPr>
            <w:tcW w:w="1134" w:type="dxa"/>
            <w:tcBorders>
              <w:top w:val="double" w:color="auto" w:sz="4" w:space="0"/>
              <w:left w:val="single" w:color="auto" w:sz="6" w:space="0"/>
              <w:bottom w:val="single" w:color="auto" w:sz="6" w:space="0"/>
              <w:right w:val="double" w:color="auto" w:sz="4" w:space="0"/>
            </w:tcBorders>
            <w:vAlign w:val="center"/>
          </w:tcPr>
          <w:p>
            <w:pPr>
              <w:pStyle w:val="374"/>
              <w:jc w:val="center"/>
              <w:rPr>
                <w:color w:val="auto"/>
              </w:rPr>
            </w:pPr>
            <w:r>
              <w:rPr>
                <w:rFonts w:hint="eastAsia"/>
                <w:color w:val="auto"/>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pPr>
              <w:pStyle w:val="374"/>
              <w:jc w:val="center"/>
              <w:rPr>
                <w:color w:val="auto"/>
              </w:rPr>
            </w:pPr>
            <w:r>
              <w:rPr>
                <w:color w:val="auto"/>
              </w:rPr>
              <w:t>1</w:t>
            </w:r>
          </w:p>
        </w:tc>
        <w:tc>
          <w:tcPr>
            <w:tcW w:w="2317"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pPr>
              <w:pStyle w:val="37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pPr>
              <w:pStyle w:val="374"/>
              <w:jc w:val="center"/>
              <w:rPr>
                <w:color w:val="auto"/>
              </w:rPr>
            </w:pPr>
            <w:r>
              <w:rPr>
                <w:color w:val="auto"/>
              </w:rPr>
              <w:t>2</w:t>
            </w:r>
          </w:p>
        </w:tc>
        <w:tc>
          <w:tcPr>
            <w:tcW w:w="2317"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pPr>
              <w:pStyle w:val="37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pPr>
              <w:pStyle w:val="374"/>
              <w:jc w:val="center"/>
              <w:rPr>
                <w:color w:val="auto"/>
              </w:rPr>
            </w:pPr>
            <w:r>
              <w:rPr>
                <w:color w:val="auto"/>
              </w:rPr>
              <w:t>3</w:t>
            </w:r>
          </w:p>
        </w:tc>
        <w:tc>
          <w:tcPr>
            <w:tcW w:w="2317"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pPr>
              <w:pStyle w:val="37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single" w:color="auto" w:sz="6" w:space="0"/>
              <w:right w:val="single" w:color="auto" w:sz="6" w:space="0"/>
            </w:tcBorders>
            <w:vAlign w:val="center"/>
          </w:tcPr>
          <w:p>
            <w:pPr>
              <w:pStyle w:val="374"/>
              <w:jc w:val="center"/>
              <w:rPr>
                <w:color w:val="auto"/>
              </w:rPr>
            </w:pPr>
            <w:r>
              <w:rPr>
                <w:color w:val="auto"/>
              </w:rPr>
              <w:t>4</w:t>
            </w:r>
          </w:p>
        </w:tc>
        <w:tc>
          <w:tcPr>
            <w:tcW w:w="2317"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2126"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3119" w:type="dxa"/>
            <w:tcBorders>
              <w:top w:val="single" w:color="auto" w:sz="6" w:space="0"/>
              <w:left w:val="single" w:color="auto" w:sz="6" w:space="0"/>
              <w:bottom w:val="single" w:color="auto" w:sz="6" w:space="0"/>
              <w:right w:val="single" w:color="auto" w:sz="6" w:space="0"/>
            </w:tcBorders>
            <w:vAlign w:val="center"/>
          </w:tcPr>
          <w:p>
            <w:pPr>
              <w:pStyle w:val="374"/>
              <w:jc w:val="center"/>
              <w:rPr>
                <w:color w:val="auto"/>
              </w:rPr>
            </w:pPr>
          </w:p>
        </w:tc>
        <w:tc>
          <w:tcPr>
            <w:tcW w:w="1134" w:type="dxa"/>
            <w:tcBorders>
              <w:top w:val="single" w:color="auto" w:sz="6" w:space="0"/>
              <w:left w:val="single" w:color="auto" w:sz="6" w:space="0"/>
              <w:bottom w:val="single" w:color="auto" w:sz="6" w:space="0"/>
              <w:right w:val="double" w:color="auto" w:sz="4" w:space="0"/>
            </w:tcBorders>
            <w:vAlign w:val="center"/>
          </w:tcPr>
          <w:p>
            <w:pPr>
              <w:pStyle w:val="374"/>
              <w:jc w:val="center"/>
              <w:rPr>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tcBorders>
              <w:top w:val="single" w:color="auto" w:sz="6" w:space="0"/>
              <w:left w:val="double" w:color="auto" w:sz="4" w:space="0"/>
              <w:bottom w:val="double" w:color="auto" w:sz="4" w:space="0"/>
              <w:right w:val="single" w:color="auto" w:sz="6" w:space="0"/>
            </w:tcBorders>
            <w:vAlign w:val="center"/>
          </w:tcPr>
          <w:p>
            <w:pPr>
              <w:pStyle w:val="374"/>
              <w:jc w:val="center"/>
              <w:rPr>
                <w:color w:val="auto"/>
              </w:rPr>
            </w:pPr>
            <w:r>
              <w:rPr>
                <w:color w:val="auto"/>
              </w:rPr>
              <w:t>5</w:t>
            </w:r>
          </w:p>
        </w:tc>
        <w:tc>
          <w:tcPr>
            <w:tcW w:w="2317" w:type="dxa"/>
            <w:tcBorders>
              <w:top w:val="single" w:color="auto" w:sz="6" w:space="0"/>
              <w:left w:val="single" w:color="auto" w:sz="6" w:space="0"/>
              <w:bottom w:val="double" w:color="auto" w:sz="4" w:space="0"/>
              <w:right w:val="single" w:color="auto" w:sz="6" w:space="0"/>
            </w:tcBorders>
            <w:vAlign w:val="center"/>
          </w:tcPr>
          <w:p>
            <w:pPr>
              <w:pStyle w:val="374"/>
              <w:jc w:val="center"/>
              <w:rPr>
                <w:color w:val="auto"/>
              </w:rPr>
            </w:pPr>
          </w:p>
        </w:tc>
        <w:tc>
          <w:tcPr>
            <w:tcW w:w="2126" w:type="dxa"/>
            <w:tcBorders>
              <w:top w:val="single" w:color="auto" w:sz="6" w:space="0"/>
              <w:left w:val="single" w:color="auto" w:sz="6" w:space="0"/>
              <w:bottom w:val="double" w:color="auto" w:sz="4" w:space="0"/>
              <w:right w:val="single" w:color="auto" w:sz="6" w:space="0"/>
            </w:tcBorders>
            <w:vAlign w:val="center"/>
          </w:tcPr>
          <w:p>
            <w:pPr>
              <w:pStyle w:val="374"/>
              <w:jc w:val="center"/>
              <w:rPr>
                <w:color w:val="auto"/>
              </w:rPr>
            </w:pPr>
          </w:p>
        </w:tc>
        <w:tc>
          <w:tcPr>
            <w:tcW w:w="3119" w:type="dxa"/>
            <w:tcBorders>
              <w:top w:val="single" w:color="auto" w:sz="6" w:space="0"/>
              <w:left w:val="single" w:color="auto" w:sz="6" w:space="0"/>
              <w:bottom w:val="double" w:color="auto" w:sz="4" w:space="0"/>
              <w:right w:val="single" w:color="auto" w:sz="6" w:space="0"/>
            </w:tcBorders>
            <w:vAlign w:val="center"/>
          </w:tcPr>
          <w:p>
            <w:pPr>
              <w:pStyle w:val="374"/>
              <w:jc w:val="center"/>
              <w:rPr>
                <w:color w:val="auto"/>
              </w:rPr>
            </w:pPr>
          </w:p>
        </w:tc>
        <w:tc>
          <w:tcPr>
            <w:tcW w:w="1134" w:type="dxa"/>
            <w:tcBorders>
              <w:top w:val="single" w:color="auto" w:sz="6" w:space="0"/>
              <w:left w:val="single" w:color="auto" w:sz="6" w:space="0"/>
              <w:bottom w:val="double" w:color="auto" w:sz="4" w:space="0"/>
              <w:right w:val="double" w:color="auto" w:sz="4" w:space="0"/>
            </w:tcBorders>
            <w:vAlign w:val="center"/>
          </w:tcPr>
          <w:p>
            <w:pPr>
              <w:pStyle w:val="374"/>
              <w:jc w:val="center"/>
              <w:rPr>
                <w:color w:val="auto"/>
              </w:rPr>
            </w:pPr>
          </w:p>
        </w:tc>
      </w:tr>
    </w:tbl>
    <w:p>
      <w:pPr>
        <w:ind w:firstLine="0" w:firstLineChars="0"/>
        <w:rPr>
          <w:color w:val="auto"/>
        </w:rPr>
      </w:pPr>
      <w:r>
        <w:rPr>
          <w:rFonts w:hint="eastAsia"/>
          <w:color w:val="auto"/>
        </w:rPr>
        <w:t>注：</w:t>
      </w:r>
      <w:r>
        <w:rPr>
          <w:color w:val="auto"/>
        </w:rPr>
        <w:t xml:space="preserve">1. </w:t>
      </w:r>
      <w:r>
        <w:rPr>
          <w:rFonts w:hint="eastAsia"/>
          <w:color w:val="auto"/>
        </w:rPr>
        <w:t>供应商必须把采购项目名称的全部服务内容事项列入此表。</w:t>
      </w:r>
    </w:p>
    <w:p>
      <w:pPr>
        <w:ind w:firstLine="480"/>
        <w:rPr>
          <w:color w:val="auto"/>
        </w:rPr>
      </w:pPr>
      <w:r>
        <w:rPr>
          <w:color w:val="auto"/>
        </w:rPr>
        <w:t>2</w:t>
      </w:r>
      <w:r>
        <w:rPr>
          <w:rFonts w:hint="eastAsia"/>
          <w:color w:val="auto"/>
        </w:rPr>
        <w:t>．按照采购项目名称服务要求的顺序对应填写。</w:t>
      </w:r>
    </w:p>
    <w:p>
      <w:pPr>
        <w:ind w:firstLine="480"/>
        <w:rPr>
          <w:color w:val="auto"/>
        </w:rPr>
      </w:pPr>
      <w:r>
        <w:rPr>
          <w:color w:val="auto"/>
        </w:rPr>
        <w:t>3</w:t>
      </w:r>
      <w:r>
        <w:rPr>
          <w:rFonts w:hint="eastAsia"/>
          <w:color w:val="auto"/>
        </w:rPr>
        <w:t>．供应商必须据实填写，不得虚假填写，否则将取消其比选或成交资格。</w:t>
      </w:r>
    </w:p>
    <w:p>
      <w:pPr>
        <w:ind w:firstLine="560"/>
        <w:rPr>
          <w:bCs/>
          <w:color w:val="auto"/>
          <w:sz w:val="28"/>
          <w:szCs w:val="28"/>
        </w:rPr>
      </w:pPr>
    </w:p>
    <w:p>
      <w:pPr>
        <w:ind w:firstLine="480"/>
        <w:rPr>
          <w:bCs/>
          <w:color w:val="auto"/>
        </w:rPr>
      </w:pPr>
      <w:r>
        <w:rPr>
          <w:rFonts w:hint="eastAsia"/>
          <w:bCs/>
          <w:color w:val="auto"/>
        </w:rPr>
        <w:t>响应人名称：</w:t>
      </w:r>
      <w:r>
        <w:rPr>
          <w:bCs/>
          <w:color w:val="auto"/>
        </w:rPr>
        <w:t xml:space="preserve">        </w:t>
      </w:r>
      <w:r>
        <w:rPr>
          <w:rFonts w:hint="eastAsia"/>
          <w:bCs/>
          <w:color w:val="auto"/>
        </w:rPr>
        <w:t>（盖章）</w:t>
      </w:r>
    </w:p>
    <w:p>
      <w:pPr>
        <w:ind w:firstLine="480"/>
        <w:rPr>
          <w:bCs/>
          <w:color w:val="auto"/>
        </w:rPr>
      </w:pPr>
      <w:r>
        <w:rPr>
          <w:rFonts w:hint="eastAsia"/>
          <w:color w:val="auto"/>
        </w:rPr>
        <w:t>法定代表人或授权代表（签字）</w:t>
      </w:r>
      <w:r>
        <w:rPr>
          <w:rFonts w:hint="eastAsia"/>
          <w:bCs/>
          <w:color w:val="auto"/>
        </w:rPr>
        <w:t>：</w:t>
      </w:r>
    </w:p>
    <w:p>
      <w:pPr>
        <w:ind w:firstLine="480"/>
        <w:rPr>
          <w:bCs/>
          <w:color w:val="auto"/>
        </w:rPr>
      </w:pPr>
      <w:r>
        <w:rPr>
          <w:rFonts w:hint="eastAsia"/>
          <w:bCs/>
          <w:color w:val="auto"/>
        </w:rPr>
        <w:t>比选日期</w:t>
      </w:r>
      <w:r>
        <w:rPr>
          <w:bCs/>
          <w:color w:val="auto"/>
        </w:rPr>
        <w:t>:</w:t>
      </w:r>
    </w:p>
    <w:p>
      <w:pPr>
        <w:adjustRightInd w:val="0"/>
        <w:spacing w:line="400" w:lineRule="exact"/>
        <w:ind w:firstLine="420" w:firstLineChars="175"/>
        <w:jc w:val="left"/>
        <w:rPr>
          <w:rFonts w:ascii="宋体" w:hAnsi="宋体"/>
          <w:bCs/>
          <w:color w:val="auto"/>
        </w:rPr>
      </w:pPr>
    </w:p>
    <w:p>
      <w:pPr>
        <w:spacing w:line="400" w:lineRule="exact"/>
        <w:ind w:firstLine="480"/>
        <w:rPr>
          <w:rFonts w:ascii="宋体"/>
          <w:bCs/>
          <w:color w:val="auto"/>
        </w:rPr>
      </w:pPr>
    </w:p>
    <w:p>
      <w:pPr>
        <w:spacing w:line="400" w:lineRule="exact"/>
        <w:ind w:firstLine="480"/>
        <w:rPr>
          <w:rFonts w:ascii="宋体"/>
          <w:bCs/>
          <w:color w:val="auto"/>
        </w:rPr>
      </w:pPr>
    </w:p>
    <w:p>
      <w:pPr>
        <w:widowControl/>
        <w:spacing w:line="240" w:lineRule="auto"/>
        <w:ind w:firstLine="0" w:firstLineChars="0"/>
        <w:jc w:val="left"/>
        <w:rPr>
          <w:color w:val="auto"/>
        </w:rPr>
      </w:pPr>
      <w:r>
        <w:rPr>
          <w:color w:val="auto"/>
        </w:rPr>
        <w:br w:type="page"/>
      </w:r>
    </w:p>
    <w:p>
      <w:pPr>
        <w:spacing w:line="400" w:lineRule="exact"/>
        <w:ind w:firstLine="480"/>
        <w:rPr>
          <w:color w:val="auto"/>
        </w:rPr>
      </w:pPr>
    </w:p>
    <w:p>
      <w:pPr>
        <w:pStyle w:val="4"/>
        <w:rPr>
          <w:color w:val="auto"/>
        </w:rPr>
      </w:pPr>
      <w:bookmarkStart w:id="627" w:name="_Toc362988487"/>
      <w:bookmarkStart w:id="628" w:name="_Toc513635032"/>
      <w:bookmarkStart w:id="629" w:name="_Toc217446091"/>
      <w:bookmarkStart w:id="630" w:name="_Toc361325790"/>
      <w:bookmarkStart w:id="631" w:name="_Toc513216382"/>
      <w:bookmarkStart w:id="632" w:name="_Toc6136"/>
      <w:r>
        <w:rPr>
          <w:rFonts w:hint="eastAsia"/>
          <w:color w:val="auto"/>
        </w:rPr>
        <w:t>七、响应人本项目管理、服务、其他人员情况表</w:t>
      </w:r>
      <w:bookmarkEnd w:id="627"/>
      <w:bookmarkEnd w:id="628"/>
      <w:bookmarkEnd w:id="629"/>
      <w:bookmarkEnd w:id="630"/>
      <w:bookmarkEnd w:id="631"/>
      <w:bookmarkEnd w:id="632"/>
    </w:p>
    <w:p>
      <w:pPr>
        <w:spacing w:line="400" w:lineRule="exact"/>
        <w:ind w:firstLine="562"/>
        <w:rPr>
          <w:rFonts w:ascii="宋体" w:cs="Arial"/>
          <w:b/>
          <w:bCs/>
          <w:color w:val="auto"/>
          <w:sz w:val="28"/>
        </w:rPr>
      </w:pPr>
    </w:p>
    <w:p>
      <w:pPr>
        <w:spacing w:line="400" w:lineRule="exact"/>
        <w:ind w:firstLine="562"/>
        <w:rPr>
          <w:rFonts w:ascii="宋体" w:cs="Arial"/>
          <w:bCs/>
          <w:color w:val="auto"/>
        </w:rPr>
      </w:pPr>
      <w:r>
        <w:rPr>
          <w:rFonts w:ascii="宋体" w:hAnsi="宋体" w:cs="Arial"/>
          <w:b/>
          <w:bCs/>
          <w:color w:val="auto"/>
          <w:sz w:val="28"/>
        </w:rPr>
        <w:t xml:space="preserve">   </w:t>
      </w:r>
      <w:r>
        <w:rPr>
          <w:rFonts w:ascii="宋体" w:hAnsi="宋体" w:cs="Arial"/>
          <w:bCs/>
          <w:color w:val="auto"/>
        </w:rPr>
        <w:t xml:space="preserve"> </w:t>
      </w:r>
      <w:r>
        <w:rPr>
          <w:rFonts w:hint="eastAsia" w:ascii="宋体" w:hAnsi="宋体" w:cs="Arial"/>
          <w:bCs/>
          <w:color w:val="auto"/>
        </w:rPr>
        <w:t>采购项目编号：</w:t>
      </w:r>
    </w:p>
    <w:tbl>
      <w:tblPr>
        <w:tblStyle w:val="89"/>
        <w:tblW w:w="92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982"/>
        <w:gridCol w:w="982"/>
        <w:gridCol w:w="982"/>
        <w:gridCol w:w="982"/>
        <w:gridCol w:w="1313"/>
        <w:gridCol w:w="890"/>
        <w:gridCol w:w="1030"/>
        <w:gridCol w:w="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restart"/>
            <w:tcBorders>
              <w:top w:val="double" w:color="auto" w:sz="4" w:space="0"/>
              <w:left w:val="double" w:color="auto" w:sz="4" w:space="0"/>
              <w:bottom w:val="single" w:color="auto" w:sz="6" w:space="0"/>
              <w:right w:val="single" w:color="auto" w:sz="6" w:space="0"/>
            </w:tcBorders>
            <w:vAlign w:val="center"/>
          </w:tcPr>
          <w:p>
            <w:pPr>
              <w:pStyle w:val="372"/>
              <w:jc w:val="center"/>
              <w:rPr>
                <w:color w:val="auto"/>
              </w:rPr>
            </w:pPr>
            <w:r>
              <w:rPr>
                <w:rFonts w:hint="eastAsia"/>
                <w:color w:val="auto"/>
              </w:rPr>
              <w:t>类别</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职务</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姓名</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职称</w:t>
            </w:r>
          </w:p>
        </w:tc>
        <w:tc>
          <w:tcPr>
            <w:tcW w:w="982" w:type="dxa"/>
            <w:vMerge w:val="restart"/>
            <w:tcBorders>
              <w:top w:val="double" w:color="auto" w:sz="4"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常住地</w:t>
            </w:r>
          </w:p>
        </w:tc>
        <w:tc>
          <w:tcPr>
            <w:tcW w:w="4123" w:type="dxa"/>
            <w:gridSpan w:val="4"/>
            <w:tcBorders>
              <w:top w:val="double" w:color="auto" w:sz="4" w:space="0"/>
              <w:left w:val="single" w:color="auto" w:sz="6" w:space="0"/>
              <w:bottom w:val="single" w:color="auto" w:sz="6" w:space="0"/>
              <w:right w:val="double" w:color="auto" w:sz="4" w:space="0"/>
            </w:tcBorders>
            <w:vAlign w:val="center"/>
          </w:tcPr>
          <w:p>
            <w:pPr>
              <w:pStyle w:val="372"/>
              <w:jc w:val="center"/>
              <w:rPr>
                <w:color w:val="auto"/>
              </w:rPr>
            </w:pPr>
            <w:r>
              <w:rPr>
                <w:rFonts w:hint="eastAsia"/>
                <w:color w:val="auto"/>
              </w:rPr>
              <w:t>资格证明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p>
        </w:tc>
        <w:tc>
          <w:tcPr>
            <w:tcW w:w="982" w:type="dxa"/>
            <w:vMerge w:val="continue"/>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证书名称</w:t>
            </w: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级别</w:t>
            </w: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rPr>
            </w:pPr>
            <w:r>
              <w:rPr>
                <w:rFonts w:hint="eastAsia"/>
                <w:color w:val="auto"/>
              </w:rPr>
              <w:t>证号</w:t>
            </w: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rPr>
            </w:pPr>
            <w:r>
              <w:rPr>
                <w:rFonts w:hint="eastAsia"/>
                <w:color w:val="auto"/>
              </w:rPr>
              <w:t>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r>
              <w:rPr>
                <w:rFonts w:hint="eastAsia"/>
                <w:color w:val="auto"/>
              </w:rPr>
              <w:t>系统架构人员</w:t>
            </w: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r>
              <w:rPr>
                <w:rFonts w:hint="eastAsia"/>
                <w:color w:val="auto"/>
              </w:rPr>
              <w:t>技术</w:t>
            </w:r>
          </w:p>
          <w:p>
            <w:pPr>
              <w:pStyle w:val="372"/>
              <w:jc w:val="center"/>
              <w:rPr>
                <w:color w:val="auto"/>
              </w:rPr>
            </w:pPr>
            <w:r>
              <w:rPr>
                <w:rFonts w:hint="eastAsia"/>
                <w:color w:val="auto"/>
              </w:rPr>
              <w:t>人员</w:t>
            </w: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r>
              <w:rPr>
                <w:rFonts w:hint="eastAsia"/>
                <w:color w:val="auto"/>
              </w:rPr>
              <w:t>美工人员</w:t>
            </w: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b/>
                <w:bCs/>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b/>
                <w:bCs/>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restart"/>
            <w:tcBorders>
              <w:top w:val="single" w:color="auto" w:sz="6" w:space="0"/>
              <w:left w:val="double" w:color="auto" w:sz="4" w:space="0"/>
              <w:bottom w:val="single" w:color="auto" w:sz="6" w:space="0"/>
              <w:right w:val="single" w:color="auto" w:sz="6" w:space="0"/>
            </w:tcBorders>
            <w:vAlign w:val="center"/>
          </w:tcPr>
          <w:p>
            <w:pPr>
              <w:pStyle w:val="372"/>
              <w:jc w:val="center"/>
              <w:rPr>
                <w:color w:val="auto"/>
              </w:rPr>
            </w:pPr>
            <w:r>
              <w:rPr>
                <w:rFonts w:hint="eastAsia"/>
                <w:color w:val="auto"/>
              </w:rPr>
              <w:t>其他服务人员</w:t>
            </w: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b/>
                <w:bCs/>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313"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1030" w:type="dxa"/>
            <w:tcBorders>
              <w:top w:val="single" w:color="auto" w:sz="6" w:space="0"/>
              <w:left w:val="single" w:color="auto" w:sz="6" w:space="0"/>
              <w:bottom w:val="single" w:color="auto" w:sz="6"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single" w:color="auto" w:sz="6" w:space="0"/>
              <w:right w:val="double" w:color="auto" w:sz="4" w:space="0"/>
            </w:tcBorders>
            <w:vAlign w:val="center"/>
          </w:tcPr>
          <w:p>
            <w:pPr>
              <w:pStyle w:val="372"/>
              <w:jc w:val="center"/>
              <w:rPr>
                <w:b/>
                <w:bCs/>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160" w:type="dxa"/>
            <w:vMerge w:val="continue"/>
            <w:tcBorders>
              <w:top w:val="single" w:color="auto" w:sz="6" w:space="0"/>
              <w:left w:val="double" w:color="auto" w:sz="4" w:space="0"/>
              <w:bottom w:val="double" w:color="auto" w:sz="4"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pPr>
              <w:pStyle w:val="372"/>
              <w:jc w:val="center"/>
              <w:rPr>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982"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1313"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1030" w:type="dxa"/>
            <w:tcBorders>
              <w:top w:val="single" w:color="auto" w:sz="6" w:space="0"/>
              <w:left w:val="single" w:color="auto" w:sz="6" w:space="0"/>
              <w:bottom w:val="double" w:color="auto" w:sz="4" w:space="0"/>
              <w:right w:val="single" w:color="auto" w:sz="6" w:space="0"/>
            </w:tcBorders>
            <w:vAlign w:val="center"/>
          </w:tcPr>
          <w:p>
            <w:pPr>
              <w:pStyle w:val="372"/>
              <w:jc w:val="center"/>
              <w:rPr>
                <w:b/>
                <w:bCs/>
                <w:color w:val="auto"/>
                <w:sz w:val="28"/>
              </w:rPr>
            </w:pPr>
          </w:p>
        </w:tc>
        <w:tc>
          <w:tcPr>
            <w:tcW w:w="890" w:type="dxa"/>
            <w:tcBorders>
              <w:top w:val="single" w:color="auto" w:sz="6" w:space="0"/>
              <w:left w:val="single" w:color="auto" w:sz="6" w:space="0"/>
              <w:bottom w:val="double" w:color="auto" w:sz="4" w:space="0"/>
              <w:right w:val="double" w:color="auto" w:sz="4" w:space="0"/>
            </w:tcBorders>
            <w:vAlign w:val="center"/>
          </w:tcPr>
          <w:p>
            <w:pPr>
              <w:pStyle w:val="372"/>
              <w:jc w:val="center"/>
              <w:rPr>
                <w:b/>
                <w:bCs/>
                <w:color w:val="auto"/>
                <w:sz w:val="28"/>
              </w:rPr>
            </w:pPr>
          </w:p>
        </w:tc>
      </w:tr>
    </w:tbl>
    <w:p>
      <w:pPr>
        <w:spacing w:line="400" w:lineRule="exact"/>
        <w:ind w:firstLine="562"/>
        <w:jc w:val="center"/>
        <w:rPr>
          <w:rFonts w:ascii="宋体" w:cs="Arial"/>
          <w:b/>
          <w:bCs/>
          <w:color w:val="auto"/>
          <w:sz w:val="28"/>
        </w:rPr>
      </w:pPr>
    </w:p>
    <w:p>
      <w:pPr>
        <w:ind w:firstLine="480"/>
        <w:rPr>
          <w:color w:val="auto"/>
        </w:rPr>
      </w:pPr>
      <w:r>
        <w:rPr>
          <w:rFonts w:hint="eastAsia"/>
          <w:color w:val="auto"/>
        </w:rPr>
        <w:t>响应人名称：</w:t>
      </w:r>
      <w:r>
        <w:rPr>
          <w:color w:val="auto"/>
        </w:rPr>
        <w:t xml:space="preserve">        </w:t>
      </w:r>
      <w:r>
        <w:rPr>
          <w:rFonts w:hint="eastAsia"/>
          <w:color w:val="auto"/>
        </w:rPr>
        <w:t>（盖章）</w:t>
      </w:r>
    </w:p>
    <w:p>
      <w:pPr>
        <w:ind w:firstLine="480"/>
        <w:rPr>
          <w:color w:val="auto"/>
        </w:rPr>
      </w:pPr>
      <w:r>
        <w:rPr>
          <w:rFonts w:hint="eastAsia"/>
          <w:color w:val="auto"/>
        </w:rPr>
        <w:t>法定代表人或授权代表（签字）：</w:t>
      </w:r>
    </w:p>
    <w:p>
      <w:pPr>
        <w:ind w:firstLine="480"/>
        <w:rPr>
          <w:color w:val="auto"/>
        </w:rPr>
      </w:pPr>
      <w:r>
        <w:rPr>
          <w:rFonts w:hint="eastAsia"/>
          <w:color w:val="auto"/>
        </w:rPr>
        <w:t>比选日期</w:t>
      </w:r>
      <w:r>
        <w:rPr>
          <w:color w:val="auto"/>
        </w:rPr>
        <w:t>:</w:t>
      </w:r>
    </w:p>
    <w:p>
      <w:pPr>
        <w:ind w:firstLine="480"/>
        <w:rPr>
          <w:color w:val="auto"/>
        </w:rPr>
      </w:pPr>
    </w:p>
    <w:p>
      <w:pPr>
        <w:ind w:firstLine="480"/>
        <w:rPr>
          <w:color w:val="auto"/>
        </w:rPr>
      </w:pPr>
    </w:p>
    <w:p>
      <w:pPr>
        <w:pStyle w:val="4"/>
        <w:rPr>
          <w:color w:val="auto"/>
        </w:rPr>
      </w:pPr>
      <w:bookmarkStart w:id="633" w:name="_Toc513635033"/>
      <w:bookmarkStart w:id="634" w:name="_Toc513216383"/>
      <w:bookmarkStart w:id="635" w:name="_Toc20613"/>
      <w:r>
        <w:rPr>
          <w:rFonts w:hint="eastAsia"/>
          <w:color w:val="auto"/>
        </w:rPr>
        <w:t>八、比选承诺函</w:t>
      </w:r>
      <w:bookmarkEnd w:id="633"/>
      <w:bookmarkEnd w:id="634"/>
      <w:bookmarkEnd w:id="635"/>
    </w:p>
    <w:p>
      <w:pPr>
        <w:ind w:firstLine="480"/>
        <w:rPr>
          <w:color w:val="auto"/>
        </w:rPr>
      </w:pPr>
    </w:p>
    <w:p>
      <w:pPr>
        <w:ind w:firstLine="0" w:firstLineChars="0"/>
        <w:rPr>
          <w:b/>
          <w:color w:val="auto"/>
        </w:rPr>
      </w:pPr>
      <w:r>
        <w:rPr>
          <w:rFonts w:hint="eastAsia"/>
          <w:b/>
          <w:color w:val="auto"/>
        </w:rPr>
        <w:t>致成都开放大学：</w:t>
      </w:r>
    </w:p>
    <w:p>
      <w:pPr>
        <w:ind w:firstLine="480"/>
        <w:rPr>
          <w:color w:val="auto"/>
        </w:rPr>
      </w:pPr>
      <w:r>
        <w:rPr>
          <w:rFonts w:hint="eastAsia"/>
          <w:color w:val="auto"/>
        </w:rPr>
        <w:t>我公司承诺满足以下条款：</w:t>
      </w:r>
    </w:p>
    <w:p>
      <w:pPr>
        <w:ind w:firstLine="480"/>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）具有独立承担民事责任的能力；</w:t>
      </w:r>
    </w:p>
    <w:p>
      <w:pPr>
        <w:ind w:firstLine="480"/>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）具有良好的商业信誉和健全的财务会计制度；</w:t>
      </w:r>
    </w:p>
    <w:p>
      <w:pPr>
        <w:ind w:firstLine="480"/>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）具有履行合同所必需的设备和专业技术能力；</w:t>
      </w:r>
    </w:p>
    <w:p>
      <w:pPr>
        <w:ind w:firstLine="480"/>
        <w:rPr>
          <w:rFonts w:ascii="宋体"/>
          <w:color w:val="auto"/>
        </w:rPr>
      </w:pPr>
      <w:r>
        <w:rPr>
          <w:rFonts w:hint="eastAsia" w:ascii="宋体" w:hAnsi="宋体"/>
          <w:color w:val="auto"/>
        </w:rPr>
        <w:t>（</w:t>
      </w:r>
      <w:r>
        <w:rPr>
          <w:rFonts w:ascii="宋体" w:hAnsi="宋体"/>
          <w:color w:val="auto"/>
        </w:rPr>
        <w:t>4</w:t>
      </w:r>
      <w:r>
        <w:rPr>
          <w:rFonts w:hint="eastAsia" w:ascii="宋体" w:hAnsi="宋体"/>
          <w:color w:val="auto"/>
        </w:rPr>
        <w:t>）有依法缴纳税收和社会保障资金的良好记录；</w:t>
      </w:r>
    </w:p>
    <w:p>
      <w:pPr>
        <w:ind w:firstLine="480"/>
        <w:rPr>
          <w:rFonts w:ascii="宋体"/>
          <w:color w:val="auto"/>
        </w:rPr>
      </w:pPr>
      <w:r>
        <w:rPr>
          <w:rFonts w:hint="eastAsia" w:ascii="宋体" w:hAnsi="宋体"/>
          <w:color w:val="auto"/>
        </w:rPr>
        <w:t>（</w:t>
      </w:r>
      <w:r>
        <w:rPr>
          <w:rFonts w:ascii="宋体" w:hAnsi="宋体"/>
          <w:color w:val="auto"/>
        </w:rPr>
        <w:t>5</w:t>
      </w:r>
      <w:r>
        <w:rPr>
          <w:rFonts w:hint="eastAsia" w:ascii="宋体" w:hAnsi="宋体"/>
          <w:color w:val="auto"/>
        </w:rPr>
        <w:t>）参加采购活动前三年内，在经营活动中没有重大违法记录；</w:t>
      </w:r>
    </w:p>
    <w:p>
      <w:pPr>
        <w:ind w:firstLine="480"/>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）法律法规规定的其他情形。</w:t>
      </w:r>
    </w:p>
    <w:p>
      <w:pPr>
        <w:ind w:firstLine="480"/>
        <w:rPr>
          <w:rFonts w:ascii="宋体"/>
          <w:color w:val="auto"/>
        </w:rPr>
      </w:pPr>
      <w:r>
        <w:rPr>
          <w:rFonts w:hint="eastAsia" w:ascii="宋体" w:hAnsi="宋体"/>
          <w:color w:val="auto"/>
        </w:rPr>
        <w:t>（7）</w:t>
      </w:r>
      <w:r>
        <w:rPr>
          <w:rFonts w:hint="eastAsia" w:ascii="宋体"/>
          <w:color w:val="auto"/>
        </w:rPr>
        <w:t>单位及其现任法定代表人、主要负责人近三年内不具有行贿犯罪记录；</w:t>
      </w:r>
    </w:p>
    <w:p>
      <w:pPr>
        <w:ind w:firstLine="480"/>
        <w:rPr>
          <w:color w:val="auto"/>
        </w:rPr>
      </w:pPr>
      <w:r>
        <w:rPr>
          <w:rFonts w:hint="eastAsia"/>
          <w:color w:val="auto"/>
        </w:rPr>
        <w:t>特此承诺！</w:t>
      </w:r>
    </w:p>
    <w:p>
      <w:pPr>
        <w:ind w:firstLine="720" w:firstLineChars="300"/>
        <w:rPr>
          <w:color w:val="auto"/>
        </w:rPr>
      </w:pPr>
    </w:p>
    <w:p>
      <w:pPr>
        <w:ind w:firstLine="4108" w:firstLineChars="1712"/>
        <w:rPr>
          <w:color w:val="auto"/>
        </w:rPr>
      </w:pPr>
      <w:r>
        <w:rPr>
          <w:rFonts w:hint="eastAsia"/>
          <w:color w:val="auto"/>
        </w:rPr>
        <w:t>承诺人（盖公章）：</w:t>
      </w:r>
    </w:p>
    <w:p>
      <w:pPr>
        <w:ind w:firstLine="4108" w:firstLineChars="1712"/>
        <w:rPr>
          <w:color w:val="auto"/>
        </w:rPr>
      </w:pPr>
      <w:r>
        <w:rPr>
          <w:rFonts w:hint="eastAsia"/>
          <w:color w:val="auto"/>
        </w:rPr>
        <w:t>法定代表人或授权代表（签字）：</w:t>
      </w:r>
    </w:p>
    <w:p>
      <w:pPr>
        <w:ind w:firstLine="4108" w:firstLineChars="1712"/>
        <w:rPr>
          <w:color w:val="auto"/>
        </w:rPr>
      </w:pPr>
      <w:r>
        <w:rPr>
          <w:rFonts w:hint="eastAsia"/>
          <w:color w:val="auto"/>
        </w:rPr>
        <w:t>日期：</w:t>
      </w:r>
    </w:p>
    <w:p>
      <w:pPr>
        <w:ind w:firstLine="480"/>
        <w:rPr>
          <w:color w:val="auto"/>
        </w:rPr>
      </w:pPr>
      <w:r>
        <w:rPr>
          <w:color w:val="auto"/>
        </w:rPr>
        <w:br w:type="page"/>
      </w:r>
    </w:p>
    <w:p>
      <w:pPr>
        <w:pStyle w:val="4"/>
        <w:rPr>
          <w:color w:val="auto"/>
        </w:rPr>
      </w:pPr>
      <w:bookmarkStart w:id="636" w:name="_Toc2384"/>
      <w:bookmarkStart w:id="637" w:name="_Toc513635034"/>
      <w:bookmarkStart w:id="638" w:name="_Toc30486"/>
      <w:bookmarkStart w:id="639" w:name="_Toc513216384"/>
      <w:r>
        <w:rPr>
          <w:rFonts w:hint="eastAsia"/>
          <w:color w:val="auto"/>
        </w:rPr>
        <w:t>九、营业执照</w:t>
      </w:r>
      <w:bookmarkEnd w:id="636"/>
      <w:r>
        <w:rPr>
          <w:rFonts w:hint="eastAsia"/>
          <w:color w:val="auto"/>
        </w:rPr>
        <w:t>副本复印件</w:t>
      </w:r>
      <w:bookmarkEnd w:id="637"/>
      <w:bookmarkEnd w:id="638"/>
      <w:bookmarkEnd w:id="639"/>
    </w:p>
    <w:p>
      <w:pPr>
        <w:ind w:firstLine="480"/>
        <w:jc w:val="center"/>
        <w:rPr>
          <w:rFonts w:ascii="宋体" w:hAnsi="宋体"/>
          <w:color w:val="auto"/>
        </w:rPr>
      </w:pPr>
      <w:r>
        <w:rPr>
          <w:rFonts w:hint="eastAsia" w:ascii="宋体" w:hAnsi="宋体"/>
          <w:color w:val="auto"/>
        </w:rPr>
        <w:t>（注：①在有效期内；②复印件加盖公章。）</w:t>
      </w:r>
    </w:p>
    <w:p>
      <w:pPr>
        <w:ind w:firstLine="480"/>
        <w:rPr>
          <w:color w:val="auto"/>
        </w:rPr>
      </w:pPr>
      <w:r>
        <w:rPr>
          <w:color w:val="auto"/>
        </w:rPr>
        <w:br w:type="page"/>
      </w:r>
    </w:p>
    <w:p>
      <w:pPr>
        <w:pStyle w:val="4"/>
        <w:rPr>
          <w:color w:val="auto"/>
        </w:rPr>
      </w:pPr>
      <w:bookmarkStart w:id="640" w:name="_Toc513635035"/>
      <w:bookmarkStart w:id="641" w:name="_Toc12651"/>
      <w:bookmarkStart w:id="642" w:name="_Toc513216385"/>
      <w:r>
        <w:rPr>
          <w:rFonts w:hint="eastAsia"/>
          <w:color w:val="auto"/>
        </w:rPr>
        <w:t>十、其他部分</w:t>
      </w:r>
      <w:bookmarkEnd w:id="640"/>
      <w:bookmarkEnd w:id="641"/>
      <w:bookmarkEnd w:id="642"/>
    </w:p>
    <w:p>
      <w:pPr>
        <w:adjustRightInd w:val="0"/>
        <w:ind w:firstLine="840" w:firstLineChars="350"/>
        <w:jc w:val="left"/>
        <w:rPr>
          <w:rFonts w:ascii="宋体"/>
          <w:bCs/>
          <w:color w:val="auto"/>
        </w:rPr>
      </w:pPr>
      <w:r>
        <w:rPr>
          <w:rFonts w:hint="eastAsia" w:ascii="宋体" w:hAnsi="宋体"/>
          <w:bCs/>
          <w:color w:val="auto"/>
        </w:rPr>
        <w:t>（响应人按照比选文件要求作出的其他应答和承诺）</w:t>
      </w:r>
    </w:p>
    <w:p>
      <w:pPr>
        <w:pStyle w:val="3"/>
        <w:ind w:firstLine="643"/>
        <w:rPr>
          <w:rFonts w:ascii="黑体" w:hAnsi="黑体"/>
          <w:color w:val="auto"/>
          <w:sz w:val="32"/>
          <w:szCs w:val="32"/>
        </w:rPr>
      </w:pPr>
      <w:bookmarkStart w:id="643" w:name="_Toc513635036"/>
      <w:bookmarkStart w:id="644" w:name="_Toc513216386"/>
      <w:bookmarkStart w:id="645" w:name="_Toc217446093"/>
      <w:r>
        <w:rPr>
          <w:rFonts w:ascii="黑体" w:hAnsi="黑体"/>
          <w:color w:val="auto"/>
          <w:sz w:val="32"/>
          <w:szCs w:val="32"/>
        </w:rPr>
        <w:br w:type="page"/>
      </w:r>
      <w:bookmarkStart w:id="646" w:name="_Toc23619"/>
      <w:r>
        <w:rPr>
          <w:rFonts w:hint="eastAsia" w:ascii="黑体" w:hAnsi="黑体"/>
          <w:color w:val="auto"/>
          <w:sz w:val="32"/>
          <w:szCs w:val="32"/>
        </w:rPr>
        <w:t>第四章</w:t>
      </w:r>
      <w:r>
        <w:rPr>
          <w:rFonts w:ascii="黑体" w:hAnsi="黑体"/>
          <w:color w:val="auto"/>
          <w:sz w:val="32"/>
          <w:szCs w:val="32"/>
        </w:rPr>
        <w:t xml:space="preserve"> </w:t>
      </w:r>
      <w:r>
        <w:rPr>
          <w:rFonts w:hint="eastAsia" w:ascii="黑体" w:hAnsi="黑体"/>
          <w:color w:val="auto"/>
          <w:sz w:val="32"/>
          <w:szCs w:val="32"/>
        </w:rPr>
        <w:t>采购项目技术、商务及其他要求</w:t>
      </w:r>
      <w:bookmarkEnd w:id="643"/>
      <w:bookmarkEnd w:id="644"/>
      <w:bookmarkEnd w:id="645"/>
      <w:bookmarkEnd w:id="646"/>
    </w:p>
    <w:p>
      <w:pPr>
        <w:pStyle w:val="4"/>
        <w:pageBreakBefore w:val="0"/>
        <w:widowControl w:val="0"/>
        <w:kinsoku/>
        <w:wordWrap/>
        <w:overflowPunct/>
        <w:topLinePunct w:val="0"/>
        <w:autoSpaceDE/>
        <w:autoSpaceDN/>
        <w:bidi w:val="0"/>
        <w:adjustRightInd/>
        <w:spacing w:before="0" w:after="0" w:line="360" w:lineRule="auto"/>
        <w:ind w:firstLine="643" w:firstLineChars="200"/>
        <w:textAlignment w:val="auto"/>
        <w:rPr>
          <w:rFonts w:hint="eastAsia" w:ascii="Arial" w:hAnsi="Arial" w:cs="Times New Roman"/>
          <w:color w:val="auto"/>
          <w:lang w:val="en-US" w:eastAsia="zh-CN"/>
        </w:rPr>
      </w:pPr>
      <w:r>
        <w:rPr>
          <w:rFonts w:hint="eastAsia" w:ascii="Arial" w:hAnsi="Arial" w:cs="Times New Roman"/>
          <w:color w:val="auto"/>
          <w:lang w:val="en-US" w:eastAsia="zh-CN"/>
        </w:rPr>
        <w:t>一、项目概述</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该项目是指由外包服务机构对成都开放大学</w:t>
      </w:r>
      <w:r>
        <w:rPr>
          <w:rFonts w:hint="eastAsia" w:ascii="宋体" w:hAnsi="宋体" w:cs="Times New Roman"/>
          <w:b w:val="0"/>
          <w:bCs/>
          <w:color w:val="auto"/>
          <w:kern w:val="2"/>
          <w:sz w:val="24"/>
          <w:szCs w:val="24"/>
          <w:lang w:val="en-US" w:eastAsia="zh-CN" w:bidi="ar-SA"/>
        </w:rPr>
        <w:t>项目</w:t>
      </w:r>
      <w:r>
        <w:rPr>
          <w:rFonts w:hint="eastAsia" w:ascii="宋体" w:hAnsi="宋体" w:eastAsia="宋体" w:cs="Times New Roman"/>
          <w:b w:val="0"/>
          <w:bCs/>
          <w:color w:val="auto"/>
          <w:kern w:val="2"/>
          <w:sz w:val="24"/>
          <w:szCs w:val="24"/>
          <w:lang w:val="en-US" w:eastAsia="zh-CN" w:bidi="ar-SA"/>
        </w:rPr>
        <w:t>档案进行整理和数字化。档案门类及数量：</w:t>
      </w:r>
      <w:r>
        <w:rPr>
          <w:rFonts w:hint="eastAsia" w:ascii="宋体" w:hAnsi="宋体" w:cs="Times New Roman"/>
          <w:b w:val="0"/>
          <w:bCs/>
          <w:color w:val="auto"/>
          <w:kern w:val="2"/>
          <w:sz w:val="24"/>
          <w:szCs w:val="24"/>
          <w:lang w:val="en-US" w:eastAsia="zh-CN" w:bidi="ar-SA"/>
        </w:rPr>
        <w:t>项目</w:t>
      </w:r>
      <w:r>
        <w:rPr>
          <w:rFonts w:hint="eastAsia" w:ascii="宋体" w:hAnsi="宋体" w:eastAsia="宋体" w:cs="Times New Roman"/>
          <w:b w:val="0"/>
          <w:bCs/>
          <w:color w:val="auto"/>
          <w:kern w:val="2"/>
          <w:sz w:val="24"/>
          <w:szCs w:val="24"/>
          <w:lang w:val="en-US" w:eastAsia="zh-CN" w:bidi="ar-SA"/>
        </w:rPr>
        <w:t>档案</w:t>
      </w:r>
      <w:r>
        <w:rPr>
          <w:rFonts w:hint="eastAsia" w:ascii="宋体" w:hAnsi="宋体" w:cs="Times New Roman"/>
          <w:b w:val="0"/>
          <w:bCs/>
          <w:color w:val="auto"/>
          <w:kern w:val="2"/>
          <w:sz w:val="24"/>
          <w:szCs w:val="24"/>
          <w:lang w:val="en-US" w:eastAsia="zh-CN" w:bidi="ar-SA"/>
        </w:rPr>
        <w:t>550盒</w:t>
      </w:r>
      <w:r>
        <w:rPr>
          <w:rFonts w:hint="eastAsia" w:ascii="宋体" w:hAnsi="宋体" w:eastAsia="宋体" w:cs="Times New Roman"/>
          <w:b w:val="0"/>
          <w:bCs/>
          <w:color w:val="auto"/>
          <w:kern w:val="2"/>
          <w:sz w:val="24"/>
          <w:szCs w:val="24"/>
          <w:lang w:val="en-US" w:eastAsia="zh-CN" w:bidi="ar-SA"/>
        </w:rPr>
        <w:t>，数字化约</w:t>
      </w:r>
      <w:r>
        <w:rPr>
          <w:rFonts w:hint="eastAsia" w:ascii="宋体" w:hAnsi="宋体" w:cs="Times New Roman"/>
          <w:b w:val="0"/>
          <w:bCs/>
          <w:color w:val="auto"/>
          <w:kern w:val="2"/>
          <w:sz w:val="24"/>
          <w:szCs w:val="24"/>
          <w:lang w:val="en-US" w:eastAsia="zh-CN" w:bidi="ar-SA"/>
        </w:rPr>
        <w:t>88</w:t>
      </w:r>
      <w:r>
        <w:rPr>
          <w:rFonts w:hint="eastAsia" w:ascii="宋体" w:hAnsi="宋体" w:eastAsia="宋体" w:cs="Times New Roman"/>
          <w:b w:val="0"/>
          <w:bCs/>
          <w:color w:val="auto"/>
          <w:kern w:val="2"/>
          <w:sz w:val="24"/>
          <w:szCs w:val="24"/>
          <w:lang w:val="en-US" w:eastAsia="zh-CN" w:bidi="ar-SA"/>
        </w:rPr>
        <w:t>000页，</w:t>
      </w:r>
      <w:r>
        <w:rPr>
          <w:rFonts w:hint="eastAsia" w:ascii="宋体" w:hAnsi="宋体" w:cs="Times New Roman"/>
          <w:b w:val="0"/>
          <w:bCs/>
          <w:color w:val="auto"/>
          <w:kern w:val="2"/>
          <w:sz w:val="24"/>
          <w:szCs w:val="24"/>
          <w:lang w:val="en-US" w:eastAsia="zh-CN" w:bidi="ar-SA"/>
        </w:rPr>
        <w:t>档案盒550个，单机版档案管理系统一套。</w:t>
      </w:r>
    </w:p>
    <w:p>
      <w:pPr>
        <w:pStyle w:val="4"/>
        <w:keepNext/>
        <w:keepLines/>
        <w:pageBreakBefore w:val="0"/>
        <w:widowControl w:val="0"/>
        <w:kinsoku/>
        <w:wordWrap/>
        <w:overflowPunct/>
        <w:topLinePunct w:val="0"/>
        <w:autoSpaceDE/>
        <w:autoSpaceDN/>
        <w:bidi w:val="0"/>
        <w:adjustRightInd/>
        <w:snapToGrid/>
        <w:spacing w:before="0" w:after="0" w:line="360" w:lineRule="auto"/>
        <w:ind w:firstLine="321" w:firstLineChars="100"/>
        <w:textAlignment w:val="auto"/>
        <w:rPr>
          <w:rFonts w:hint="eastAsia" w:ascii="Arial" w:hAnsi="Arial" w:cs="Times New Roman"/>
          <w:color w:val="auto"/>
          <w:lang w:val="en-US" w:eastAsia="zh-CN"/>
        </w:rPr>
      </w:pPr>
      <w:r>
        <w:rPr>
          <w:rFonts w:hint="eastAsia" w:ascii="Arial" w:hAnsi="Arial" w:cs="Times New Roman"/>
          <w:color w:val="auto"/>
          <w:lang w:val="en-US" w:eastAsia="zh-CN"/>
        </w:rPr>
        <w:t>二、项目服务内容及要求</w:t>
      </w:r>
    </w:p>
    <w:p>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2.1 项目服务内容</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1</w:t>
      </w:r>
      <w:r>
        <w:rPr>
          <w:rFonts w:hint="eastAsia" w:ascii="宋体" w:hAnsi="宋体" w:eastAsia="宋体" w:cs="Times New Roman"/>
          <w:b w:val="0"/>
          <w:bCs/>
          <w:color w:val="auto"/>
          <w:kern w:val="2"/>
          <w:sz w:val="24"/>
          <w:szCs w:val="24"/>
          <w:lang w:val="en-US" w:eastAsia="zh-CN" w:bidi="ar-SA"/>
        </w:rPr>
        <w:t>.</w:t>
      </w:r>
      <w:r>
        <w:rPr>
          <w:rFonts w:hint="eastAsia" w:ascii="宋体" w:hAnsi="宋体" w:cs="Times New Roman"/>
          <w:b w:val="0"/>
          <w:bCs/>
          <w:color w:val="auto"/>
          <w:kern w:val="2"/>
          <w:sz w:val="24"/>
          <w:szCs w:val="24"/>
          <w:lang w:val="en-US" w:eastAsia="zh-CN" w:bidi="ar-SA"/>
        </w:rPr>
        <w:t>项目档案规范化</w:t>
      </w:r>
      <w:r>
        <w:rPr>
          <w:rFonts w:hint="eastAsia" w:ascii="宋体" w:hAnsi="宋体" w:eastAsia="宋体" w:cs="Times New Roman"/>
          <w:b w:val="0"/>
          <w:bCs/>
          <w:color w:val="auto"/>
          <w:kern w:val="2"/>
          <w:sz w:val="24"/>
          <w:szCs w:val="24"/>
          <w:lang w:val="en-US" w:eastAsia="zh-CN" w:bidi="ar-SA"/>
        </w:rPr>
        <w:t>整理</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学校的</w:t>
      </w:r>
      <w:r>
        <w:rPr>
          <w:rFonts w:hint="eastAsia" w:ascii="宋体" w:hAnsi="宋体" w:cs="Times New Roman"/>
          <w:b w:val="0"/>
          <w:bCs/>
          <w:color w:val="auto"/>
          <w:kern w:val="2"/>
          <w:sz w:val="24"/>
          <w:szCs w:val="24"/>
          <w:lang w:val="en-US" w:eastAsia="zh-CN" w:bidi="ar-SA"/>
        </w:rPr>
        <w:t>项目</w:t>
      </w:r>
      <w:r>
        <w:rPr>
          <w:rFonts w:hint="eastAsia" w:ascii="宋体" w:hAnsi="宋体" w:eastAsia="宋体" w:cs="Times New Roman"/>
          <w:b w:val="0"/>
          <w:bCs/>
          <w:color w:val="auto"/>
          <w:kern w:val="2"/>
          <w:sz w:val="24"/>
          <w:szCs w:val="24"/>
          <w:lang w:val="en-US" w:eastAsia="zh-CN" w:bidi="ar-SA"/>
        </w:rPr>
        <w:t>文件材料（约</w:t>
      </w:r>
      <w:r>
        <w:rPr>
          <w:rFonts w:hint="eastAsia" w:ascii="宋体" w:hAnsi="宋体" w:cs="Times New Roman"/>
          <w:b w:val="0"/>
          <w:bCs/>
          <w:color w:val="auto"/>
          <w:kern w:val="2"/>
          <w:sz w:val="24"/>
          <w:szCs w:val="24"/>
          <w:lang w:val="en-US" w:eastAsia="zh-CN" w:bidi="ar-SA"/>
        </w:rPr>
        <w:t>550盒</w:t>
      </w:r>
      <w:r>
        <w:rPr>
          <w:rFonts w:hint="eastAsia" w:ascii="宋体" w:hAnsi="宋体" w:eastAsia="宋体" w:cs="Times New Roman"/>
          <w:b w:val="0"/>
          <w:bCs/>
          <w:color w:val="auto"/>
          <w:kern w:val="2"/>
          <w:sz w:val="24"/>
          <w:szCs w:val="24"/>
          <w:lang w:val="en-US" w:eastAsia="zh-CN" w:bidi="ar-SA"/>
        </w:rPr>
        <w:t>）按照国家标准《归档文件整理规则》（DA/T 22—2015）进行规范化整理。整理内容包括：文件资料的分类、编号、编目、装订、软件录入、上架等程序。</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2</w:t>
      </w:r>
      <w:r>
        <w:rPr>
          <w:rFonts w:hint="eastAsia" w:ascii="宋体" w:hAnsi="宋体" w:eastAsia="宋体" w:cs="Times New Roman"/>
          <w:b w:val="0"/>
          <w:bCs/>
          <w:color w:val="auto"/>
          <w:kern w:val="2"/>
          <w:sz w:val="24"/>
          <w:szCs w:val="24"/>
          <w:lang w:val="en-US" w:eastAsia="zh-CN" w:bidi="ar-SA"/>
        </w:rPr>
        <w:t>.文书档案数字化</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对学校</w:t>
      </w:r>
      <w:r>
        <w:rPr>
          <w:rFonts w:hint="eastAsia" w:ascii="宋体" w:hAnsi="宋体" w:cs="Times New Roman"/>
          <w:b w:val="0"/>
          <w:bCs/>
          <w:color w:val="auto"/>
          <w:kern w:val="2"/>
          <w:sz w:val="24"/>
          <w:szCs w:val="24"/>
          <w:lang w:val="en-US" w:eastAsia="zh-CN" w:bidi="ar-SA"/>
        </w:rPr>
        <w:t>项目</w:t>
      </w:r>
      <w:r>
        <w:rPr>
          <w:rFonts w:hint="eastAsia" w:ascii="宋体" w:hAnsi="宋体" w:eastAsia="宋体" w:cs="Times New Roman"/>
          <w:b w:val="0"/>
          <w:bCs/>
          <w:color w:val="auto"/>
          <w:kern w:val="2"/>
          <w:sz w:val="24"/>
          <w:szCs w:val="24"/>
          <w:lang w:val="en-US" w:eastAsia="zh-CN" w:bidi="ar-SA"/>
        </w:rPr>
        <w:t>档案（约</w:t>
      </w:r>
      <w:r>
        <w:rPr>
          <w:rFonts w:hint="eastAsia" w:ascii="宋体" w:hAnsi="宋体" w:cs="Times New Roman"/>
          <w:b w:val="0"/>
          <w:bCs/>
          <w:color w:val="auto"/>
          <w:kern w:val="2"/>
          <w:sz w:val="24"/>
          <w:szCs w:val="24"/>
          <w:lang w:val="en-US" w:eastAsia="zh-CN" w:bidi="ar-SA"/>
        </w:rPr>
        <w:t>88</w:t>
      </w:r>
      <w:r>
        <w:rPr>
          <w:rFonts w:hint="eastAsia" w:ascii="宋体" w:hAnsi="宋体" w:eastAsia="宋体" w:cs="Times New Roman"/>
          <w:b w:val="0"/>
          <w:bCs/>
          <w:color w:val="auto"/>
          <w:kern w:val="2"/>
          <w:sz w:val="24"/>
          <w:szCs w:val="24"/>
          <w:lang w:val="en-US" w:eastAsia="zh-CN" w:bidi="ar-SA"/>
        </w:rPr>
        <w:t>000页）进行数字化加工和目录录入服务。档案数字化加工包括档案接收、清点核对、档案扫描前处理、批量扫描、图像处理及优化、图像质检、图像数据挂接及扫描图像文件和元数据封装、图像格式转换、数据验收、档案归还等工序，并在整个工作环节中确保档案实体及其他信息的安全保密。</w:t>
      </w:r>
    </w:p>
    <w:p>
      <w:pPr>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配备一套单机版的档案管理系统</w:t>
      </w:r>
      <w:r>
        <w:rPr>
          <w:rFonts w:hint="eastAsia" w:ascii="宋体" w:hAnsi="宋体" w:eastAsia="宋体" w:cs="Times New Roman"/>
          <w:b w:val="0"/>
          <w:bCs/>
          <w:color w:val="auto"/>
          <w:kern w:val="2"/>
          <w:sz w:val="24"/>
          <w:szCs w:val="24"/>
          <w:lang w:val="en-US" w:eastAsia="zh-CN" w:bidi="ar-SA"/>
        </w:rPr>
        <w:t>。</w:t>
      </w:r>
    </w:p>
    <w:p>
      <w:pPr>
        <w:pStyle w:val="35"/>
        <w:numPr>
          <w:ilvl w:val="0"/>
          <w:numId w:val="3"/>
        </w:numPr>
        <w:rPr>
          <w:rFonts w:hint="eastAsia"/>
          <w:color w:val="auto"/>
          <w:lang w:val="en-US" w:eastAsia="zh-CN"/>
        </w:rPr>
      </w:pPr>
      <w:r>
        <w:rPr>
          <w:rFonts w:hint="eastAsia"/>
          <w:color w:val="auto"/>
          <w:lang w:val="en-US" w:eastAsia="zh-CN"/>
        </w:rPr>
        <w:t>购买550个国家标准的档案盒。</w:t>
      </w:r>
    </w:p>
    <w:p>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2.2项目服务要求</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1.质量要求：档案整理和数字化应符合国家行业标准。文书档案按照《归档文件整理规则》（DA/T 22—2015）整理；数字化符合《纸质档案数字化规范》（DA/T 31-2017）要求，数字化副本存储格式为JPEG和双层PDF各一套,色彩模式为彩色，分辨率不小于300dpi；著录符合《档案著录规则》（DA/T 18-1999）；</w:t>
      </w:r>
    </w:p>
    <w:p>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2.验收方法及标准：成都开放大学组织验收，对档案进行质量抽检，抽检合格率达到98%以上为合格。</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3.中选单位须遵守相关保密安全规定，档案整理工作须在成都开放大学指定的场所内进行，确保场所正常秩序和安全整洁。项目实施过程中，因中选单位过错导致档案遗失、损毁的，中选单位承担一切责任。</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4.中选单位应签订保密协议，建立保密制度，加强管理，杜绝失泄密事故的发生。</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5.中选单位不得在工作场所使用与工作无关的任何日用品和电器设备。</w:t>
      </w:r>
    </w:p>
    <w:p>
      <w:pPr>
        <w:pStyle w:val="4"/>
        <w:pageBreakBefore w:val="0"/>
        <w:widowControl w:val="0"/>
        <w:kinsoku/>
        <w:wordWrap/>
        <w:overflowPunct/>
        <w:topLinePunct w:val="0"/>
        <w:autoSpaceDE/>
        <w:autoSpaceDN/>
        <w:bidi w:val="0"/>
        <w:adjustRightInd/>
        <w:spacing w:before="0" w:after="0"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2.3商务要求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1.项目执行时间：自签订合同之日起</w:t>
      </w:r>
      <w:r>
        <w:rPr>
          <w:rFonts w:hint="eastAsia" w:ascii="宋体" w:hAnsi="宋体" w:cs="Times New Roman"/>
          <w:b w:val="0"/>
          <w:bCs/>
          <w:color w:val="auto"/>
          <w:kern w:val="2"/>
          <w:sz w:val="24"/>
          <w:szCs w:val="24"/>
          <w:lang w:val="en-US" w:eastAsia="zh-CN" w:bidi="ar-SA"/>
        </w:rPr>
        <w:t>6</w:t>
      </w:r>
      <w:r>
        <w:rPr>
          <w:rFonts w:hint="eastAsia" w:ascii="宋体" w:hAnsi="宋体" w:eastAsia="宋体" w:cs="Times New Roman"/>
          <w:b w:val="0"/>
          <w:bCs/>
          <w:color w:val="auto"/>
          <w:kern w:val="2"/>
          <w:sz w:val="24"/>
          <w:szCs w:val="24"/>
          <w:lang w:val="en-US" w:eastAsia="zh-CN" w:bidi="ar-SA"/>
        </w:rPr>
        <w:t>个月内。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2.售后服务：项目结束后，如发现档案整理及数字化质量有较大质量问题，中选单位应按行业规范和标准进行修改和完善。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3.付款方式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签订合同时，由甲乙双方具体约定。最后形成的档案整理及数字化费用按中标书中关于各类档案整理及数字化的单价，结合实际档案数量结算。</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4.报价除总价外，须列出报价明细（必须明确各门类档案整理及数字化的单价，项目结束后据实结算以此为依据），并填写《报价明细表》，格式如下：</w:t>
      </w:r>
    </w:p>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报价明细表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64"/>
        <w:gridCol w:w="1541"/>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序号</w:t>
            </w:r>
          </w:p>
        </w:tc>
        <w:tc>
          <w:tcPr>
            <w:tcW w:w="2964"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项目内容</w:t>
            </w:r>
          </w:p>
        </w:tc>
        <w:tc>
          <w:tcPr>
            <w:tcW w:w="1541"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单价（元）</w:t>
            </w:r>
          </w:p>
        </w:tc>
        <w:tc>
          <w:tcPr>
            <w:tcW w:w="2289"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w:t>
            </w:r>
          </w:p>
        </w:tc>
        <w:tc>
          <w:tcPr>
            <w:tcW w:w="2964"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项目</w:t>
            </w:r>
            <w:r>
              <w:rPr>
                <w:rFonts w:hint="eastAsia" w:ascii="宋体" w:hAnsi="宋体" w:eastAsia="宋体" w:cs="Times New Roman"/>
                <w:b w:val="0"/>
                <w:bCs/>
                <w:color w:val="auto"/>
                <w:kern w:val="2"/>
                <w:sz w:val="24"/>
                <w:szCs w:val="24"/>
                <w:lang w:val="en-US" w:eastAsia="zh-CN" w:bidi="ar-SA"/>
              </w:rPr>
              <w:t>档案整理</w:t>
            </w:r>
          </w:p>
        </w:tc>
        <w:tc>
          <w:tcPr>
            <w:tcW w:w="154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p>
        </w:tc>
        <w:tc>
          <w:tcPr>
            <w:tcW w:w="2289"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default"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550盒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2</w:t>
            </w:r>
          </w:p>
        </w:tc>
        <w:tc>
          <w:tcPr>
            <w:tcW w:w="2964"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档案数字化</w:t>
            </w:r>
          </w:p>
        </w:tc>
        <w:tc>
          <w:tcPr>
            <w:tcW w:w="154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p>
        </w:tc>
        <w:tc>
          <w:tcPr>
            <w:tcW w:w="2289"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88000页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3</w:t>
            </w:r>
          </w:p>
        </w:tc>
        <w:tc>
          <w:tcPr>
            <w:tcW w:w="2964"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档案盒</w:t>
            </w:r>
          </w:p>
        </w:tc>
        <w:tc>
          <w:tcPr>
            <w:tcW w:w="154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p>
        </w:tc>
        <w:tc>
          <w:tcPr>
            <w:tcW w:w="2289"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default"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550个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default" w:ascii="宋体" w:hAnsi="宋体" w:eastAsia="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4</w:t>
            </w:r>
          </w:p>
        </w:tc>
        <w:tc>
          <w:tcPr>
            <w:tcW w:w="2964" w:type="dxa"/>
            <w:noWrap w:val="0"/>
            <w:vAlign w:val="center"/>
          </w:tcPr>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档案管理系统</w:t>
            </w:r>
          </w:p>
        </w:tc>
        <w:tc>
          <w:tcPr>
            <w:tcW w:w="1541"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Times New Roman"/>
                <w:b w:val="0"/>
                <w:bCs/>
                <w:color w:val="auto"/>
                <w:kern w:val="2"/>
                <w:sz w:val="24"/>
                <w:szCs w:val="24"/>
                <w:lang w:val="en-US" w:eastAsia="zh-CN" w:bidi="ar-SA"/>
              </w:rPr>
            </w:pPr>
          </w:p>
        </w:tc>
        <w:tc>
          <w:tcPr>
            <w:tcW w:w="2289" w:type="dxa"/>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default" w:ascii="宋体" w:hAnsi="宋体" w:cs="Times New Roman"/>
                <w:b w:val="0"/>
                <w:bCs/>
                <w:color w:val="auto"/>
                <w:kern w:val="2"/>
                <w:sz w:val="24"/>
                <w:szCs w:val="24"/>
                <w:lang w:val="en-US" w:eastAsia="zh-CN" w:bidi="ar-SA"/>
              </w:rPr>
            </w:pPr>
            <w:r>
              <w:rPr>
                <w:rFonts w:hint="eastAsia" w:ascii="宋体" w:hAnsi="宋体" w:cs="Times New Roman"/>
                <w:b w:val="0"/>
                <w:bCs/>
                <w:color w:val="auto"/>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5" w:type="dxa"/>
            <w:gridSpan w:val="4"/>
            <w:noWrap w:val="0"/>
            <w:vAlign w:val="center"/>
          </w:tcPr>
          <w:p>
            <w:pPr>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总价（大写）：</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5.成都开放大学为项目开展提供的条件包括：工作场地和档案装具。</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6.中选单位需准备：关于档案整理和数字化加工所需的全部设施设备。</w:t>
      </w:r>
    </w:p>
    <w:p>
      <w:pPr>
        <w:pStyle w:val="272"/>
        <w:pageBreakBefore w:val="0"/>
        <w:widowControl w:val="0"/>
        <w:kinsoku/>
        <w:wordWrap/>
        <w:overflowPunct/>
        <w:topLinePunct w:val="0"/>
        <w:bidi w:val="0"/>
        <w:spacing w:line="360" w:lineRule="auto"/>
        <w:ind w:firstLine="0" w:firstLineChars="0"/>
        <w:textAlignment w:val="auto"/>
        <w:rPr>
          <w:rFonts w:hint="eastAsia" w:ascii="宋体" w:hAnsi="宋体" w:eastAsia="宋体" w:cs="Times New Roman"/>
          <w:b w:val="0"/>
          <w:bCs/>
          <w:color w:val="auto"/>
          <w:kern w:val="2"/>
          <w:sz w:val="24"/>
          <w:szCs w:val="24"/>
          <w:lang w:val="en-US" w:eastAsia="zh-CN" w:bidi="ar-SA"/>
        </w:rPr>
      </w:pPr>
    </w:p>
    <w:p>
      <w:pPr>
        <w:pageBreakBefore w:val="0"/>
        <w:widowControl w:val="0"/>
        <w:kinsoku/>
        <w:wordWrap/>
        <w:overflowPunct/>
        <w:topLinePunct w:val="0"/>
        <w:bidi w:val="0"/>
        <w:spacing w:line="600" w:lineRule="exact"/>
        <w:ind w:firstLine="482" w:firstLineChars="200"/>
        <w:jc w:val="center"/>
        <w:textAlignment w:val="auto"/>
        <w:outlineLvl w:val="2"/>
        <w:rPr>
          <w:rFonts w:hint="eastAsia" w:cs="Times New Roman"/>
          <w:b/>
          <w:bCs/>
          <w:color w:val="auto"/>
          <w:sz w:val="24"/>
        </w:rPr>
      </w:pPr>
    </w:p>
    <w:p>
      <w:pPr>
        <w:pageBreakBefore w:val="0"/>
        <w:widowControl w:val="0"/>
        <w:kinsoku/>
        <w:wordWrap/>
        <w:overflowPunct/>
        <w:topLinePunct w:val="0"/>
        <w:bidi w:val="0"/>
        <w:spacing w:line="600" w:lineRule="exact"/>
        <w:ind w:firstLine="482" w:firstLineChars="200"/>
        <w:jc w:val="center"/>
        <w:textAlignment w:val="auto"/>
        <w:outlineLvl w:val="2"/>
        <w:rPr>
          <w:rFonts w:hint="eastAsia" w:cs="Times New Roman"/>
          <w:b/>
          <w:bCs/>
          <w:color w:val="auto"/>
          <w:sz w:val="24"/>
        </w:rPr>
      </w:pPr>
    </w:p>
    <w:p>
      <w:pPr>
        <w:pStyle w:val="3"/>
        <w:spacing w:line="276" w:lineRule="auto"/>
        <w:ind w:firstLine="643"/>
        <w:rPr>
          <w:rFonts w:hint="eastAsia" w:ascii="黑体" w:hAnsi="黑体"/>
          <w:color w:val="auto"/>
          <w:sz w:val="32"/>
          <w:szCs w:val="32"/>
        </w:rPr>
      </w:pPr>
      <w:bookmarkStart w:id="647" w:name="_Toc2016"/>
      <w:bookmarkStart w:id="648" w:name="_Toc513635039"/>
      <w:bookmarkStart w:id="649" w:name="_Toc513216389"/>
    </w:p>
    <w:p>
      <w:pPr>
        <w:pStyle w:val="3"/>
        <w:spacing w:line="276" w:lineRule="auto"/>
        <w:ind w:firstLine="643"/>
        <w:rPr>
          <w:rFonts w:ascii="宋体"/>
          <w:color w:val="auto"/>
          <w:sz w:val="36"/>
          <w:szCs w:val="36"/>
        </w:rPr>
      </w:pPr>
      <w:r>
        <w:rPr>
          <w:rFonts w:hint="eastAsia" w:ascii="黑体" w:hAnsi="黑体"/>
          <w:color w:val="auto"/>
          <w:sz w:val="32"/>
          <w:szCs w:val="32"/>
        </w:rPr>
        <w:t>第五章</w:t>
      </w:r>
      <w:r>
        <w:rPr>
          <w:rFonts w:ascii="黑体" w:hAnsi="黑体"/>
          <w:color w:val="auto"/>
          <w:sz w:val="32"/>
          <w:szCs w:val="32"/>
        </w:rPr>
        <w:t xml:space="preserve">  </w:t>
      </w:r>
      <w:r>
        <w:rPr>
          <w:rFonts w:hint="eastAsia" w:ascii="黑体" w:hAnsi="黑体"/>
          <w:color w:val="auto"/>
          <w:sz w:val="32"/>
          <w:szCs w:val="32"/>
        </w:rPr>
        <w:t>评标办法</w:t>
      </w:r>
      <w:bookmarkEnd w:id="647"/>
      <w:bookmarkEnd w:id="648"/>
      <w:bookmarkEnd w:id="649"/>
      <w:bookmarkStart w:id="650" w:name="_Toc208849007"/>
      <w:bookmarkStart w:id="651" w:name="_Toc183582280"/>
      <w:bookmarkStart w:id="652" w:name="_Toc217446097"/>
      <w:bookmarkStart w:id="653" w:name="_Toc183682415"/>
    </w:p>
    <w:p>
      <w:pPr>
        <w:pStyle w:val="4"/>
        <w:rPr>
          <w:color w:val="auto"/>
        </w:rPr>
      </w:pPr>
      <w:bookmarkStart w:id="654" w:name="_Toc513635040"/>
      <w:bookmarkStart w:id="655" w:name="_Toc18379"/>
      <w:bookmarkStart w:id="656" w:name="_Toc513216390"/>
      <w:r>
        <w:rPr>
          <w:color w:val="auto"/>
        </w:rPr>
        <w:t>1.</w:t>
      </w:r>
      <w:r>
        <w:rPr>
          <w:rFonts w:hint="eastAsia"/>
          <w:color w:val="auto"/>
        </w:rPr>
        <w:t>总则</w:t>
      </w:r>
      <w:bookmarkEnd w:id="650"/>
      <w:bookmarkEnd w:id="651"/>
      <w:bookmarkEnd w:id="652"/>
      <w:bookmarkEnd w:id="653"/>
      <w:bookmarkEnd w:id="654"/>
      <w:bookmarkEnd w:id="655"/>
      <w:bookmarkEnd w:id="656"/>
    </w:p>
    <w:p>
      <w:pPr>
        <w:ind w:firstLine="480"/>
        <w:rPr>
          <w:color w:val="auto"/>
        </w:rPr>
      </w:pPr>
      <w:r>
        <w:rPr>
          <w:color w:val="auto"/>
        </w:rPr>
        <w:t xml:space="preserve">1.1 </w:t>
      </w:r>
      <w:r>
        <w:rPr>
          <w:rFonts w:hint="eastAsia"/>
          <w:color w:val="auto"/>
        </w:rPr>
        <w:t>根据《中华人民共和国招标投标法》等法律规章，结合采购项目特点制定本评标办法。</w:t>
      </w:r>
    </w:p>
    <w:p>
      <w:pPr>
        <w:ind w:firstLine="480"/>
        <w:rPr>
          <w:rFonts w:hint="eastAsia"/>
          <w:bCs/>
          <w:color w:val="auto"/>
        </w:rPr>
      </w:pPr>
      <w:r>
        <w:rPr>
          <w:color w:val="auto"/>
        </w:rPr>
        <w:t xml:space="preserve">1.2 </w:t>
      </w:r>
      <w:r>
        <w:rPr>
          <w:rFonts w:hint="eastAsia"/>
          <w:bCs/>
          <w:color w:val="auto"/>
        </w:rPr>
        <w:t>评标工作由采购人负责组织，具体评标事务由采购人依法组建的评标委员会负责。评标委员会由采购人代表和有关技术、经济等方面的专家组成。</w:t>
      </w:r>
    </w:p>
    <w:p>
      <w:pPr>
        <w:ind w:firstLine="480"/>
        <w:rPr>
          <w:color w:val="auto"/>
        </w:rPr>
      </w:pPr>
      <w:r>
        <w:rPr>
          <w:color w:val="auto"/>
        </w:rPr>
        <w:t xml:space="preserve">1.3 </w:t>
      </w:r>
      <w:r>
        <w:rPr>
          <w:rFonts w:hint="eastAsia"/>
          <w:color w:val="auto"/>
        </w:rPr>
        <w:t>评标工作应遵循公平、公正、科学及择优的原则，并以相同的评标程序和标准对待所有的响应人。</w:t>
      </w:r>
    </w:p>
    <w:p>
      <w:pPr>
        <w:ind w:firstLine="480"/>
        <w:rPr>
          <w:color w:val="auto"/>
        </w:rPr>
      </w:pPr>
      <w:r>
        <w:rPr>
          <w:color w:val="auto"/>
        </w:rPr>
        <w:t xml:space="preserve">1.4 </w:t>
      </w:r>
      <w:r>
        <w:rPr>
          <w:rFonts w:hint="eastAsia"/>
          <w:color w:val="auto"/>
        </w:rPr>
        <w:t>评标委员会按照比选文件规定的评标方法和标准进行评标，并独立履行下列职责：</w:t>
      </w:r>
    </w:p>
    <w:p>
      <w:pPr>
        <w:ind w:firstLine="480"/>
        <w:rPr>
          <w:color w:val="auto"/>
        </w:rPr>
      </w:pPr>
      <w:r>
        <w:rPr>
          <w:rFonts w:hint="eastAsia"/>
          <w:color w:val="auto"/>
        </w:rPr>
        <w:t>（</w:t>
      </w:r>
      <w:r>
        <w:rPr>
          <w:color w:val="auto"/>
        </w:rPr>
        <w:t>1</w:t>
      </w:r>
      <w:r>
        <w:rPr>
          <w:rFonts w:hint="eastAsia"/>
          <w:color w:val="auto"/>
        </w:rPr>
        <w:t>）审查响应文件是否符合比选文件要求，并做出评价；</w:t>
      </w:r>
    </w:p>
    <w:p>
      <w:pPr>
        <w:ind w:firstLine="480"/>
        <w:rPr>
          <w:color w:val="auto"/>
        </w:rPr>
      </w:pPr>
      <w:r>
        <w:rPr>
          <w:rFonts w:hint="eastAsia"/>
          <w:color w:val="auto"/>
        </w:rPr>
        <w:t>（</w:t>
      </w:r>
      <w:r>
        <w:rPr>
          <w:color w:val="auto"/>
        </w:rPr>
        <w:t>2</w:t>
      </w:r>
      <w:r>
        <w:rPr>
          <w:rFonts w:hint="eastAsia"/>
          <w:color w:val="auto"/>
        </w:rPr>
        <w:t>）要求响应人对响应文件有关事项做出解释或者澄清；</w:t>
      </w:r>
    </w:p>
    <w:p>
      <w:pPr>
        <w:ind w:firstLine="480"/>
        <w:rPr>
          <w:color w:val="auto"/>
        </w:rPr>
      </w:pPr>
      <w:r>
        <w:rPr>
          <w:rFonts w:hint="eastAsia"/>
          <w:color w:val="auto"/>
        </w:rPr>
        <w:t>（</w:t>
      </w:r>
      <w:r>
        <w:rPr>
          <w:color w:val="auto"/>
        </w:rPr>
        <w:t>3</w:t>
      </w:r>
      <w:r>
        <w:rPr>
          <w:rFonts w:hint="eastAsia"/>
          <w:color w:val="auto"/>
        </w:rPr>
        <w:t>）推荐成交候选响应人名单，或者受采购人委托按照事先确定的办法直接确定成交响应人；</w:t>
      </w:r>
    </w:p>
    <w:p>
      <w:pPr>
        <w:ind w:firstLine="480"/>
        <w:rPr>
          <w:color w:val="auto"/>
        </w:rPr>
      </w:pPr>
      <w:r>
        <w:rPr>
          <w:rFonts w:hint="eastAsia"/>
          <w:color w:val="auto"/>
        </w:rPr>
        <w:t>（</w:t>
      </w:r>
      <w:r>
        <w:rPr>
          <w:color w:val="auto"/>
        </w:rPr>
        <w:t>4</w:t>
      </w:r>
      <w:r>
        <w:rPr>
          <w:rFonts w:hint="eastAsia"/>
          <w:color w:val="auto"/>
        </w:rPr>
        <w:t>）向采购单位或者有关部门报告非法干预评标工作的行为。</w:t>
      </w:r>
      <w:bookmarkStart w:id="657" w:name="_Toc217446098"/>
    </w:p>
    <w:p>
      <w:pPr>
        <w:ind w:firstLine="480"/>
        <w:rPr>
          <w:color w:val="auto"/>
        </w:rPr>
      </w:pPr>
      <w:r>
        <w:rPr>
          <w:color w:val="auto"/>
        </w:rPr>
        <w:t xml:space="preserve">1.5 </w:t>
      </w:r>
      <w:r>
        <w:rPr>
          <w:rFonts w:hint="eastAsia"/>
          <w:color w:val="auto"/>
        </w:rPr>
        <w:t>评标过程严格保密。响应人对评委会的评标过程或合同授予决定施加影响的任何行为都可能导致其比选被拒绝。</w:t>
      </w:r>
    </w:p>
    <w:p>
      <w:pPr>
        <w:ind w:firstLine="480"/>
        <w:rPr>
          <w:color w:val="auto"/>
        </w:rPr>
      </w:pPr>
      <w:r>
        <w:rPr>
          <w:color w:val="auto"/>
        </w:rPr>
        <w:t>1.6</w:t>
      </w:r>
      <w:r>
        <w:rPr>
          <w:rFonts w:hint="eastAsia"/>
          <w:color w:val="auto"/>
        </w:rPr>
        <w:t>评委会决定响应文件的响应性依据响应文件本身的内容，而不寻求外部的证据。</w:t>
      </w:r>
    </w:p>
    <w:p>
      <w:pPr>
        <w:ind w:firstLine="480"/>
        <w:rPr>
          <w:color w:val="auto"/>
        </w:rPr>
      </w:pPr>
      <w:r>
        <w:rPr>
          <w:color w:val="auto"/>
        </w:rPr>
        <w:t>1.7</w:t>
      </w:r>
      <w:r>
        <w:rPr>
          <w:rFonts w:hint="eastAsia"/>
          <w:color w:val="auto"/>
        </w:rPr>
        <w:t>评委会发现比选文件表述不明确或需要说明的事项，可提请采购单位书面解释说明。发现比选文件违反有关法律、法规和规章的，可以拒绝评标，并向采购单位书面说明情况。</w:t>
      </w:r>
    </w:p>
    <w:p>
      <w:pPr>
        <w:pStyle w:val="4"/>
        <w:rPr>
          <w:color w:val="auto"/>
        </w:rPr>
      </w:pPr>
      <w:bookmarkStart w:id="658" w:name="_Toc513635041"/>
      <w:bookmarkStart w:id="659" w:name="_Toc513216391"/>
      <w:bookmarkStart w:id="660" w:name="_Toc9410"/>
      <w:r>
        <w:rPr>
          <w:color w:val="auto"/>
        </w:rPr>
        <w:t>2.</w:t>
      </w:r>
      <w:r>
        <w:rPr>
          <w:rFonts w:hint="eastAsia"/>
          <w:color w:val="auto"/>
        </w:rPr>
        <w:t>评标方法</w:t>
      </w:r>
      <w:bookmarkEnd w:id="658"/>
      <w:bookmarkEnd w:id="659"/>
      <w:bookmarkEnd w:id="660"/>
    </w:p>
    <w:p>
      <w:pPr>
        <w:ind w:firstLine="480"/>
        <w:rPr>
          <w:color w:val="auto"/>
        </w:rPr>
      </w:pPr>
      <w:r>
        <w:rPr>
          <w:rFonts w:hint="eastAsia"/>
          <w:color w:val="auto"/>
        </w:rPr>
        <w:t>本项目评标方法为：综合评分法。</w:t>
      </w:r>
      <w:bookmarkEnd w:id="657"/>
      <w:bookmarkStart w:id="661" w:name="_Toc217446099"/>
    </w:p>
    <w:p>
      <w:pPr>
        <w:pStyle w:val="4"/>
        <w:rPr>
          <w:color w:val="auto"/>
        </w:rPr>
      </w:pPr>
      <w:bookmarkStart w:id="662" w:name="_Toc513216392"/>
      <w:bookmarkStart w:id="663" w:name="_Toc13417"/>
      <w:bookmarkStart w:id="664" w:name="_Toc513635042"/>
      <w:bookmarkStart w:id="665" w:name="_Toc217446103"/>
      <w:r>
        <w:rPr>
          <w:color w:val="auto"/>
        </w:rPr>
        <w:t>3</w:t>
      </w:r>
      <w:r>
        <w:rPr>
          <w:rFonts w:hint="eastAsia"/>
          <w:color w:val="auto"/>
        </w:rPr>
        <w:t>.评标细则及标准</w:t>
      </w:r>
      <w:bookmarkEnd w:id="662"/>
      <w:bookmarkEnd w:id="663"/>
      <w:bookmarkEnd w:id="664"/>
      <w:bookmarkEnd w:id="665"/>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.1 评委会只对通过初审的响应文件，根据比选文件的要求采用相同的评标程序、评分办法及标准进行评价和比较。</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.2 本次综合评分的因素是：报价、服务、经验、人员、对比选文件的响应程度等。</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.3 除价格因素外，评委会成员应依据响应文件规定的评分标准和方法独立对其他因素进行比较打分。</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.4 在评标过程中，响应文件有下列情况之一，评标委员会成员应当按照比选文件规定的非实质性偏离进行扣分。</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1）文字表述的内容含义不明确，或者同类问题表述不一致，或者有明显文字和计算错误，或者提供的技术信息和数据资料不完整，响应人拒不或在规定的时间内没有进行澄清、说明或补正或澄清、说明、补正的内容也不能说明问题的；</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（2）响应文件未按比选文件要求进行装订或未编制目录、页码；</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（3）认定的与比选文件第四章规定的技术、商务和其他规定要求不符的非实质性偏离。</w:t>
      </w:r>
    </w:p>
    <w:p>
      <w:pPr>
        <w:ind w:firstLine="48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（4）认定的其他非实质性偏离。</w:t>
      </w:r>
    </w:p>
    <w:p>
      <w:pPr>
        <w:spacing w:line="360" w:lineRule="auto"/>
        <w:ind w:firstLine="458" w:firstLineChars="190"/>
        <w:jc w:val="center"/>
        <w:outlineLvl w:val="2"/>
        <w:rPr>
          <w:b/>
          <w:bCs/>
          <w:color w:val="auto"/>
          <w:sz w:val="24"/>
        </w:rPr>
      </w:pPr>
      <w:r>
        <w:rPr>
          <w:rFonts w:hint="eastAsia" w:cs="Times New Roman"/>
          <w:b/>
          <w:bCs/>
          <w:color w:val="auto"/>
          <w:sz w:val="24"/>
        </w:rPr>
        <w:t>综合评分明细表</w:t>
      </w:r>
    </w:p>
    <w:tbl>
      <w:tblPr>
        <w:tblStyle w:val="89"/>
        <w:tblW w:w="9377" w:type="dxa"/>
        <w:jc w:val="center"/>
        <w:tblLayout w:type="autofit"/>
        <w:tblCellMar>
          <w:top w:w="15" w:type="dxa"/>
          <w:left w:w="15" w:type="dxa"/>
          <w:bottom w:w="15" w:type="dxa"/>
          <w:right w:w="15" w:type="dxa"/>
        </w:tblCellMar>
      </w:tblPr>
      <w:tblGrid>
        <w:gridCol w:w="632"/>
        <w:gridCol w:w="1213"/>
        <w:gridCol w:w="689"/>
        <w:gridCol w:w="6843"/>
      </w:tblGrid>
      <w:tr>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bidi="ar"/>
              </w:rPr>
              <w:t>评分因素</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w:t>
            </w:r>
          </w:p>
        </w:tc>
        <w:tc>
          <w:tcPr>
            <w:tcW w:w="6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评分标准</w:t>
            </w:r>
          </w:p>
        </w:tc>
      </w:tr>
      <w:tr>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tc>
        <w:tc>
          <w:tcPr>
            <w:tcW w:w="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磋商报价得分=（磋商基准价/最后磋商报价）×</w:t>
            </w:r>
            <w:r>
              <w:rPr>
                <w:rFonts w:hint="eastAsia" w:ascii="仿宋" w:hAnsi="仿宋" w:eastAsia="仿宋" w:cs="仿宋"/>
                <w:b w:val="0"/>
                <w:bCs w:val="0"/>
                <w:color w:val="auto"/>
                <w:sz w:val="24"/>
                <w:szCs w:val="24"/>
                <w:highlight w:val="none"/>
                <w:lang w:val="en-US" w:eastAsia="zh-CN"/>
              </w:rPr>
              <w:t>30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注：价格扣除详见供应商须知附表。</w:t>
            </w:r>
          </w:p>
        </w:tc>
      </w:tr>
      <w:tr>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2</w:t>
            </w:r>
          </w:p>
        </w:tc>
        <w:tc>
          <w:tcPr>
            <w:tcW w:w="12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人员配置10%</w:t>
            </w:r>
          </w:p>
        </w:tc>
        <w:tc>
          <w:tcPr>
            <w:tcW w:w="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10分</w:t>
            </w:r>
          </w:p>
        </w:tc>
        <w:tc>
          <w:tcPr>
            <w:tcW w:w="6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1、项目负责人：</w:t>
            </w:r>
            <w:r>
              <w:rPr>
                <w:rFonts w:hint="eastAsia" w:ascii="仿宋" w:hAnsi="仿宋" w:eastAsia="仿宋" w:cs="仿宋"/>
                <w:color w:val="auto"/>
                <w:sz w:val="24"/>
                <w:szCs w:val="24"/>
              </w:rPr>
              <w:t>供应商拟派遣的</w:t>
            </w:r>
            <w:r>
              <w:rPr>
                <w:rFonts w:hint="eastAsia" w:ascii="仿宋" w:hAnsi="仿宋" w:eastAsia="仿宋" w:cs="仿宋"/>
                <w:b w:val="0"/>
                <w:bCs w:val="0"/>
                <w:color w:val="auto"/>
                <w:sz w:val="24"/>
                <w:szCs w:val="24"/>
                <w:highlight w:val="none"/>
                <w:lang w:val="en-US" w:eastAsia="zh-CN"/>
              </w:rPr>
              <w:t>项目负责人同时具有档案中级职称（或中级职称以上）与项目经理助理（或项目经理助理以上）证书得4分，缺一项不得分；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2、项目实施人员：</w:t>
            </w:r>
            <w:r>
              <w:rPr>
                <w:rFonts w:hint="eastAsia" w:ascii="仿宋" w:hAnsi="仿宋" w:eastAsia="仿宋" w:cs="仿宋"/>
                <w:color w:val="auto"/>
                <w:sz w:val="24"/>
                <w:szCs w:val="24"/>
              </w:rPr>
              <w:t>供应商拟派遣的</w:t>
            </w:r>
            <w:r>
              <w:rPr>
                <w:rFonts w:hint="eastAsia" w:ascii="仿宋" w:hAnsi="仿宋" w:eastAsia="仿宋" w:cs="仿宋"/>
                <w:color w:val="auto"/>
                <w:sz w:val="24"/>
                <w:szCs w:val="24"/>
                <w:lang w:val="en-US" w:eastAsia="zh-CN"/>
              </w:rPr>
              <w:t>实施人员</w:t>
            </w:r>
            <w:r>
              <w:rPr>
                <w:rFonts w:hint="eastAsia" w:ascii="仿宋" w:hAnsi="仿宋" w:eastAsia="仿宋" w:cs="仿宋"/>
                <w:b w:val="0"/>
                <w:bCs w:val="0"/>
                <w:color w:val="auto"/>
                <w:sz w:val="24"/>
                <w:szCs w:val="24"/>
                <w:highlight w:val="none"/>
                <w:lang w:val="en-US" w:eastAsia="zh-CN"/>
              </w:rPr>
              <w:t>具有</w:t>
            </w:r>
            <w:r>
              <w:rPr>
                <w:rFonts w:hint="eastAsia" w:ascii="仿宋" w:hAnsi="仿宋" w:eastAsia="仿宋" w:cs="仿宋"/>
                <w:color w:val="auto"/>
                <w:sz w:val="24"/>
                <w:szCs w:val="24"/>
                <w:lang w:val="en-US" w:eastAsia="zh-CN"/>
              </w:rPr>
              <w:t>公安机关出具的“无犯罪证明记录”</w:t>
            </w:r>
            <w:r>
              <w:rPr>
                <w:rFonts w:hint="eastAsia" w:ascii="仿宋" w:hAnsi="仿宋" w:eastAsia="仿宋" w:cs="仿宋"/>
                <w:b w:val="0"/>
                <w:bCs w:val="0"/>
                <w:color w:val="auto"/>
                <w:sz w:val="24"/>
                <w:szCs w:val="24"/>
                <w:highlight w:val="none"/>
                <w:lang w:val="en-US" w:eastAsia="zh-CN"/>
              </w:rPr>
              <w:t>的，每有一人得1分，最多得4分，未提供不得分。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3、项目售后人员：</w:t>
            </w:r>
            <w:r>
              <w:rPr>
                <w:rFonts w:hint="eastAsia" w:ascii="仿宋" w:hAnsi="仿宋" w:eastAsia="仿宋" w:cs="仿宋"/>
                <w:color w:val="auto"/>
                <w:sz w:val="24"/>
                <w:szCs w:val="24"/>
              </w:rPr>
              <w:t>供应商拟派遣的</w:t>
            </w:r>
            <w:r>
              <w:rPr>
                <w:rFonts w:hint="eastAsia" w:ascii="仿宋" w:hAnsi="仿宋" w:eastAsia="仿宋" w:cs="仿宋"/>
                <w:color w:val="auto"/>
                <w:sz w:val="24"/>
                <w:szCs w:val="24"/>
                <w:lang w:eastAsia="zh-CN"/>
              </w:rPr>
              <w:t>售后</w:t>
            </w:r>
            <w:r>
              <w:rPr>
                <w:rFonts w:hint="eastAsia" w:ascii="仿宋" w:hAnsi="仿宋" w:eastAsia="仿宋" w:cs="仿宋"/>
                <w:color w:val="auto"/>
                <w:sz w:val="24"/>
                <w:szCs w:val="24"/>
              </w:rPr>
              <w:t>人员</w:t>
            </w:r>
            <w:r>
              <w:rPr>
                <w:rFonts w:hint="eastAsia" w:ascii="仿宋" w:hAnsi="仿宋" w:eastAsia="仿宋" w:cs="仿宋"/>
                <w:b w:val="0"/>
                <w:bCs w:val="0"/>
                <w:color w:val="auto"/>
                <w:sz w:val="24"/>
                <w:szCs w:val="24"/>
                <w:highlight w:val="none"/>
                <w:lang w:val="en-US" w:eastAsia="zh-CN"/>
              </w:rPr>
              <w:t>具有售后服务管理师培训资格证书，有一个证书得1分，最多得2分。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注：提供相关证书复印件加盖单位鲜章。</w:t>
            </w:r>
          </w:p>
        </w:tc>
      </w:tr>
      <w:tr>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履约能力15%</w:t>
            </w:r>
          </w:p>
        </w:tc>
        <w:tc>
          <w:tcPr>
            <w:tcW w:w="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15分</w:t>
            </w:r>
          </w:p>
        </w:tc>
        <w:tc>
          <w:tcPr>
            <w:tcW w:w="6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2020年1月1日以来，供应商具有一个类似项目履约经验得3分，本项最多得15分。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注：提供项目合同/协议复印件加盖单位鲜章。</w:t>
            </w:r>
          </w:p>
        </w:tc>
      </w:tr>
      <w:tr>
        <w:tblPrEx>
          <w:tblCellMar>
            <w:top w:w="15" w:type="dxa"/>
            <w:left w:w="15" w:type="dxa"/>
            <w:bottom w:w="15" w:type="dxa"/>
            <w:right w:w="15" w:type="dxa"/>
          </w:tblCellMar>
        </w:tblPrEx>
        <w:trPr>
          <w:trHeight w:val="340" w:hRule="atLeast"/>
          <w:jc w:val="center"/>
        </w:trPr>
        <w:tc>
          <w:tcPr>
            <w:tcW w:w="6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2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综合实力16%</w:t>
            </w:r>
          </w:p>
        </w:tc>
        <w:tc>
          <w:tcPr>
            <w:tcW w:w="6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16分</w:t>
            </w:r>
          </w:p>
        </w:tc>
        <w:tc>
          <w:tcPr>
            <w:tcW w:w="68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1.供应商具有有效期的质量管理认证证书（认证范围须包含</w:t>
            </w:r>
            <w:r>
              <w:rPr>
                <w:rFonts w:hint="eastAsia" w:ascii="仿宋" w:hAnsi="仿宋" w:eastAsia="仿宋" w:cs="仿宋"/>
                <w:b w:val="0"/>
                <w:bCs w:val="0"/>
                <w:color w:val="auto"/>
                <w:sz w:val="24"/>
                <w:szCs w:val="24"/>
                <w:highlight w:val="none"/>
                <w:lang w:val="en-US" w:eastAsia="zh-CN"/>
              </w:rPr>
              <w:t>但不仅限于档案</w:t>
            </w:r>
            <w:r>
              <w:rPr>
                <w:rFonts w:hint="eastAsia" w:ascii="仿宋" w:hAnsi="仿宋" w:eastAsia="仿宋" w:cs="仿宋"/>
                <w:b w:val="0"/>
                <w:bCs w:val="0"/>
                <w:color w:val="auto"/>
                <w:sz w:val="24"/>
                <w:szCs w:val="24"/>
                <w:highlight w:val="none"/>
                <w:lang w:val="zh-CN" w:eastAsia="zh-CN"/>
              </w:rPr>
              <w:t>数字化加工、数据处理与储存、数据维护</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lang w:val="zh-CN" w:eastAsia="zh-CN"/>
              </w:rPr>
              <w:t>）的得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2.供应商具有有效期的</w:t>
            </w:r>
            <w:r>
              <w:rPr>
                <w:rFonts w:hint="eastAsia" w:ascii="仿宋" w:hAnsi="仿宋" w:eastAsia="仿宋" w:cs="仿宋"/>
                <w:b w:val="0"/>
                <w:bCs w:val="0"/>
                <w:color w:val="auto"/>
                <w:sz w:val="24"/>
                <w:szCs w:val="24"/>
                <w:highlight w:val="none"/>
                <w:lang w:val="en-US" w:eastAsia="zh-CN"/>
              </w:rPr>
              <w:t>环境管理体系认证证书</w:t>
            </w:r>
            <w:r>
              <w:rPr>
                <w:rFonts w:hint="eastAsia" w:ascii="仿宋" w:hAnsi="仿宋" w:eastAsia="仿宋" w:cs="仿宋"/>
                <w:b w:val="0"/>
                <w:bCs w:val="0"/>
                <w:color w:val="auto"/>
                <w:sz w:val="24"/>
                <w:szCs w:val="24"/>
                <w:highlight w:val="none"/>
                <w:lang w:val="zh-CN" w:eastAsia="zh-CN"/>
              </w:rPr>
              <w:t>（认证范围须包含</w:t>
            </w:r>
            <w:r>
              <w:rPr>
                <w:rFonts w:hint="eastAsia" w:ascii="仿宋" w:hAnsi="仿宋" w:eastAsia="仿宋" w:cs="仿宋"/>
                <w:b w:val="0"/>
                <w:bCs w:val="0"/>
                <w:color w:val="auto"/>
                <w:sz w:val="24"/>
                <w:szCs w:val="24"/>
                <w:highlight w:val="none"/>
                <w:lang w:val="en-US" w:eastAsia="zh-CN"/>
              </w:rPr>
              <w:t>但不仅限于档案</w:t>
            </w:r>
            <w:r>
              <w:rPr>
                <w:rFonts w:hint="eastAsia" w:ascii="仿宋" w:hAnsi="仿宋" w:eastAsia="仿宋" w:cs="仿宋"/>
                <w:b w:val="0"/>
                <w:bCs w:val="0"/>
                <w:color w:val="auto"/>
                <w:sz w:val="24"/>
                <w:szCs w:val="24"/>
                <w:highlight w:val="none"/>
                <w:lang w:val="zh-CN" w:eastAsia="zh-CN"/>
              </w:rPr>
              <w:t>数字化加工、数据处理与储存、数据维护、档案规范化整理、档案消毒灭菌</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lang w:val="zh-CN" w:eastAsia="zh-CN"/>
              </w:rPr>
              <w:t>）的得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3.供应商具有有效期</w:t>
            </w:r>
            <w:r>
              <w:rPr>
                <w:rFonts w:hint="eastAsia" w:ascii="仿宋" w:hAnsi="仿宋" w:eastAsia="仿宋" w:cs="仿宋"/>
                <w:b w:val="0"/>
                <w:bCs w:val="0"/>
                <w:color w:val="auto"/>
                <w:sz w:val="24"/>
                <w:szCs w:val="24"/>
                <w:highlight w:val="none"/>
                <w:lang w:val="zh-CN" w:eastAsia="zh-CN"/>
              </w:rPr>
              <w:t>的职业健康安全管理体系认证证书（认证范围须包含</w:t>
            </w:r>
            <w:r>
              <w:rPr>
                <w:rFonts w:hint="eastAsia" w:ascii="仿宋" w:hAnsi="仿宋" w:eastAsia="仿宋" w:cs="仿宋"/>
                <w:b w:val="0"/>
                <w:bCs w:val="0"/>
                <w:color w:val="auto"/>
                <w:sz w:val="24"/>
                <w:szCs w:val="24"/>
                <w:highlight w:val="none"/>
                <w:lang w:val="en-US" w:eastAsia="zh-CN"/>
              </w:rPr>
              <w:t>但不仅限于档案</w:t>
            </w:r>
            <w:r>
              <w:rPr>
                <w:rFonts w:hint="eastAsia" w:ascii="仿宋" w:hAnsi="仿宋" w:eastAsia="仿宋" w:cs="仿宋"/>
                <w:b w:val="0"/>
                <w:bCs w:val="0"/>
                <w:color w:val="auto"/>
                <w:sz w:val="24"/>
                <w:szCs w:val="24"/>
                <w:highlight w:val="none"/>
                <w:lang w:val="zh-CN" w:eastAsia="zh-CN"/>
              </w:rPr>
              <w:t>数字化加工、数据处理与储存、数据维护、档案规范化整理、档案消毒灭菌</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lang w:val="zh-CN" w:eastAsia="zh-CN"/>
              </w:rPr>
              <w:t>）的得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eastAsia="zh-CN"/>
              </w:rPr>
              <w:t>分。</w:t>
            </w:r>
          </w:p>
          <w:p>
            <w:pPr>
              <w:pStyle w:val="35"/>
              <w:keepNext w:val="0"/>
              <w:keepLines w:val="0"/>
              <w:pageBreakBefore w:val="0"/>
              <w:widowControl w:val="0"/>
              <w:kinsoku/>
              <w:wordWrap/>
              <w:overflowPunct/>
              <w:topLinePunct w:val="0"/>
              <w:autoSpaceDE/>
              <w:autoSpaceDN/>
              <w:bidi w:val="0"/>
              <w:spacing w:after="0" w:line="240" w:lineRule="auto"/>
              <w:ind w:firstLine="0" w:firstLineChars="0"/>
              <w:jc w:val="both"/>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color w:val="auto"/>
                <w:sz w:val="24"/>
                <w:szCs w:val="24"/>
                <w:highlight w:val="none"/>
              </w:rPr>
              <w:t>具有商品售后服务评价体系证书，证书在有效期范围内</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认证范围包含</w:t>
            </w:r>
            <w:r>
              <w:rPr>
                <w:rFonts w:hint="eastAsia" w:ascii="仿宋" w:hAnsi="仿宋" w:eastAsia="仿宋" w:cs="仿宋"/>
                <w:b w:val="0"/>
                <w:color w:val="auto"/>
                <w:sz w:val="24"/>
                <w:szCs w:val="24"/>
                <w:highlight w:val="none"/>
                <w:lang w:val="en-US" w:eastAsia="zh-CN"/>
              </w:rPr>
              <w:t>但不仅限于</w:t>
            </w:r>
            <w:r>
              <w:rPr>
                <w:rFonts w:hint="eastAsia" w:ascii="仿宋" w:hAnsi="仿宋" w:eastAsia="仿宋" w:cs="仿宋"/>
                <w:b w:val="0"/>
                <w:color w:val="auto"/>
                <w:sz w:val="24"/>
                <w:szCs w:val="24"/>
                <w:highlight w:val="none"/>
                <w:lang w:eastAsia="zh-CN"/>
              </w:rPr>
              <w:t>数字化服务、数据处理与储存、数据维护、</w:t>
            </w:r>
            <w:r>
              <w:rPr>
                <w:rFonts w:hint="eastAsia" w:ascii="仿宋" w:hAnsi="仿宋" w:eastAsia="仿宋" w:cs="仿宋"/>
                <w:b w:val="0"/>
                <w:bCs w:val="0"/>
                <w:color w:val="auto"/>
                <w:sz w:val="24"/>
                <w:szCs w:val="24"/>
                <w:highlight w:val="none"/>
                <w:lang w:val="zh-CN" w:eastAsia="zh-CN"/>
              </w:rPr>
              <w:t>档案规范化整理、档案消毒灭菌</w:t>
            </w:r>
            <w:r>
              <w:rPr>
                <w:rFonts w:hint="eastAsia" w:ascii="仿宋" w:hAnsi="仿宋" w:eastAsia="仿宋" w:cs="仿宋"/>
                <w:b w:val="0"/>
                <w:color w:val="auto"/>
                <w:sz w:val="24"/>
                <w:szCs w:val="24"/>
                <w:highlight w:val="none"/>
                <w:lang w:val="en-US" w:eastAsia="zh-CN"/>
              </w:rPr>
              <w:t>等</w:t>
            </w:r>
            <w:r>
              <w:rPr>
                <w:rFonts w:hint="eastAsia" w:ascii="仿宋" w:hAnsi="仿宋" w:eastAsia="仿宋" w:cs="仿宋"/>
                <w:b w:val="0"/>
                <w:color w:val="auto"/>
                <w:sz w:val="24"/>
                <w:szCs w:val="24"/>
                <w:highlight w:val="none"/>
                <w:lang w:eastAsia="zh-CN"/>
              </w:rPr>
              <w:t>）得</w:t>
            </w:r>
            <w:r>
              <w:rPr>
                <w:rFonts w:hint="eastAsia" w:ascii="仿宋" w:hAnsi="仿宋" w:eastAsia="仿宋" w:cs="仿宋"/>
                <w:b w:val="0"/>
                <w:color w:val="auto"/>
                <w:sz w:val="24"/>
                <w:szCs w:val="24"/>
                <w:highlight w:val="none"/>
                <w:lang w:val="en-US" w:eastAsia="zh-CN"/>
              </w:rPr>
              <w:t>4分。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zh-TW" w:eastAsia="zh-CN"/>
              </w:rPr>
              <w:t>注：</w:t>
            </w:r>
            <w:r>
              <w:rPr>
                <w:rFonts w:hint="eastAsia" w:ascii="仿宋" w:hAnsi="仿宋" w:eastAsia="仿宋" w:cs="仿宋"/>
                <w:b/>
                <w:bCs/>
                <w:color w:val="auto"/>
                <w:sz w:val="24"/>
                <w:szCs w:val="24"/>
                <w:highlight w:val="none"/>
                <w:lang w:val="zh-TW" w:eastAsia="zh-TW"/>
              </w:rPr>
              <w:t>提供</w:t>
            </w:r>
            <w:r>
              <w:rPr>
                <w:rFonts w:hint="eastAsia" w:ascii="仿宋" w:hAnsi="仿宋" w:eastAsia="仿宋" w:cs="仿宋"/>
                <w:b/>
                <w:bCs/>
                <w:color w:val="auto"/>
                <w:sz w:val="24"/>
                <w:szCs w:val="24"/>
                <w:highlight w:val="none"/>
                <w:lang w:val="en-US" w:eastAsia="zh-CN"/>
              </w:rPr>
              <w:t>相关证书</w:t>
            </w:r>
            <w:r>
              <w:rPr>
                <w:rFonts w:hint="eastAsia" w:ascii="仿宋" w:hAnsi="仿宋" w:eastAsia="仿宋" w:cs="仿宋"/>
                <w:b/>
                <w:bCs/>
                <w:color w:val="auto"/>
                <w:sz w:val="24"/>
                <w:szCs w:val="24"/>
                <w:highlight w:val="none"/>
                <w:lang w:val="zh-TW" w:eastAsia="zh-TW"/>
              </w:rPr>
              <w:t>复印件加盖单位鲜章</w:t>
            </w:r>
            <w:r>
              <w:rPr>
                <w:rFonts w:hint="eastAsia" w:ascii="仿宋" w:hAnsi="仿宋" w:eastAsia="仿宋" w:cs="仿宋"/>
                <w:b/>
                <w:bCs/>
                <w:color w:val="auto"/>
                <w:sz w:val="24"/>
                <w:szCs w:val="24"/>
                <w:highlight w:val="none"/>
                <w:lang w:val="en-US" w:eastAsia="zh-CN"/>
              </w:rPr>
              <w:t>。</w:t>
            </w:r>
          </w:p>
        </w:tc>
      </w:tr>
      <w:tr>
        <w:tblPrEx>
          <w:tblCellMar>
            <w:top w:w="15" w:type="dxa"/>
            <w:left w:w="15" w:type="dxa"/>
            <w:bottom w:w="15" w:type="dxa"/>
            <w:right w:w="15" w:type="dxa"/>
          </w:tblCellMar>
        </w:tblPrEx>
        <w:trPr>
          <w:trHeight w:val="340"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3"/>
                <w:sz w:val="24"/>
                <w:szCs w:val="24"/>
                <w:highlight w:val="none"/>
              </w:rPr>
              <w:t>服务方案</w:t>
            </w:r>
            <w:r>
              <w:rPr>
                <w:rFonts w:hint="eastAsia" w:ascii="仿宋" w:hAnsi="仿宋" w:eastAsia="仿宋" w:cs="仿宋"/>
                <w:color w:val="auto"/>
                <w:spacing w:val="-3"/>
                <w:sz w:val="24"/>
                <w:szCs w:val="24"/>
                <w:highlight w:val="none"/>
                <w:lang w:val="en-US" w:eastAsia="zh-CN"/>
              </w:rPr>
              <w:t>18%</w:t>
            </w:r>
          </w:p>
        </w:tc>
        <w:tc>
          <w:tcPr>
            <w:tcW w:w="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18分</w:t>
            </w:r>
          </w:p>
        </w:tc>
        <w:tc>
          <w:tcPr>
            <w:tcW w:w="6843"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根据供应商针对本项目提供的实施方案进行综合评分，包括 但不仅限于①工作规程；②档案安全措施；③人员管理制度；④服务流程；⑤服务应急预案；⑥服务质量保障措等，以上内容符合实际情况、内容完善、完全响应采购要求的得18分。每缺漏一项扣3分，所提供的方案中每有一处存在不足（不足是指：该方面内容体现不齐全；阐述存在逻辑错误；涉及内容无重点，不能体现出本项目的特点；语言错误或存在歧义；与本项目实际不相符；项目名称、实施地点与本项目不一致等）的扣1.5分，扣完为止。</w:t>
            </w:r>
          </w:p>
        </w:tc>
      </w:tr>
      <w:tr>
        <w:tblPrEx>
          <w:tblCellMar>
            <w:top w:w="15" w:type="dxa"/>
            <w:left w:w="15" w:type="dxa"/>
            <w:bottom w:w="15" w:type="dxa"/>
            <w:right w:w="15" w:type="dxa"/>
          </w:tblCellMar>
        </w:tblPrEx>
        <w:trPr>
          <w:trHeight w:val="3346"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eastAsia="zh-CN"/>
              </w:rPr>
              <w:t>软硬件配置</w:t>
            </w:r>
            <w:r>
              <w:rPr>
                <w:rFonts w:hint="eastAsia" w:ascii="仿宋" w:hAnsi="仿宋" w:eastAsia="仿宋" w:cs="仿宋"/>
                <w:color w:val="auto"/>
                <w:spacing w:val="-3"/>
                <w:sz w:val="24"/>
                <w:szCs w:val="24"/>
                <w:highlight w:val="none"/>
                <w:lang w:val="en-US" w:eastAsia="zh-CN"/>
              </w:rPr>
              <w:t>6%</w:t>
            </w:r>
          </w:p>
        </w:tc>
        <w:tc>
          <w:tcPr>
            <w:tcW w:w="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rPr>
              <w:t>供应商拟</w:t>
            </w: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国产电子档案管理系统具备</w:t>
            </w:r>
            <w:r>
              <w:rPr>
                <w:rFonts w:hint="eastAsia" w:ascii="仿宋" w:hAnsi="仿宋" w:eastAsia="仿宋" w:cs="仿宋"/>
                <w:color w:val="auto"/>
                <w:kern w:val="2"/>
                <w:sz w:val="24"/>
                <w:szCs w:val="24"/>
                <w:lang w:val="en-US" w:eastAsia="zh-CN" w:bidi="ar-SA"/>
              </w:rPr>
              <w:t>国产信创环境兼容性认证：</w:t>
            </w:r>
            <w:r>
              <w:rPr>
                <w:rFonts w:hint="eastAsia" w:ascii="仿宋" w:hAnsi="仿宋" w:eastAsia="仿宋" w:cs="仿宋"/>
                <w:b w:val="0"/>
                <w:bCs w:val="0"/>
                <w:color w:val="auto"/>
                <w:sz w:val="24"/>
                <w:szCs w:val="24"/>
                <w:highlight w:val="none"/>
                <w:lang w:val="en-US" w:eastAsia="zh-CN"/>
              </w:rPr>
              <w:t>与银河麒麟桌面操作系统V10（包含但不限于飞腾、鲲鹏、龙芯、兆芯、海光、AMD64、海思麒麟）兼容的得3分</w:t>
            </w:r>
            <w:r>
              <w:rPr>
                <w:rFonts w:hint="eastAsia" w:ascii="仿宋" w:hAnsi="仿宋" w:eastAsia="仿宋" w:cs="仿宋"/>
                <w:b/>
                <w:bCs/>
                <w:color w:val="auto"/>
                <w:sz w:val="24"/>
                <w:szCs w:val="24"/>
                <w:highlight w:val="none"/>
                <w:lang w:val="en-US" w:eastAsia="zh-CN"/>
              </w:rPr>
              <w:t>(提供麒麟软件认证报告)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2、供应商拟提供的国产电子档案管理系统具备国产信创环境兼容性认证：与统信桌面操作系统V20（包含但不限于飞腾FT-2000、腾锐D2000、鲲鹏920）兼容的得3分。</w:t>
            </w:r>
            <w:r>
              <w:rPr>
                <w:rFonts w:hint="eastAsia" w:ascii="仿宋" w:hAnsi="仿宋" w:eastAsia="仿宋" w:cs="仿宋"/>
                <w:b/>
                <w:bCs/>
                <w:color w:val="auto"/>
                <w:sz w:val="24"/>
                <w:szCs w:val="24"/>
                <w:highlight w:val="none"/>
                <w:lang w:val="en-US" w:eastAsia="zh-CN"/>
              </w:rPr>
              <w:t>(提供统信软件认证报告</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color w:val="auto"/>
                <w:kern w:val="0"/>
                <w:sz w:val="24"/>
                <w:szCs w:val="24"/>
                <w:highlight w:val="none"/>
                <w:lang w:val="en-US" w:eastAsia="zh-CN" w:bidi="ar-SA"/>
              </w:rPr>
            </w:pPr>
          </w:p>
        </w:tc>
      </w:tr>
      <w:tr>
        <w:tblPrEx>
          <w:tblCellMar>
            <w:top w:w="15" w:type="dxa"/>
            <w:left w:w="15" w:type="dxa"/>
            <w:bottom w:w="15" w:type="dxa"/>
            <w:right w:w="15" w:type="dxa"/>
          </w:tblCellMar>
        </w:tblPrEx>
        <w:trPr>
          <w:trHeight w:val="340"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售后服务5%</w:t>
            </w:r>
          </w:p>
        </w:tc>
        <w:tc>
          <w:tcPr>
            <w:tcW w:w="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65"/>
              </w:tabs>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c>
          <w:tcPr>
            <w:tcW w:w="6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供应商针对本项目制定售后服务方案，方案内容应包含但不限于</w:t>
            </w:r>
            <w:r>
              <w:rPr>
                <w:rFonts w:hint="eastAsia" w:ascii="仿宋" w:hAnsi="仿宋" w:eastAsia="仿宋" w:cs="仿宋"/>
                <w:color w:val="auto"/>
                <w:sz w:val="24"/>
                <w:szCs w:val="24"/>
                <w:highlight w:val="none"/>
              </w:rPr>
              <w:t>①后续服务措施、②后续服务团队人员配置及分工、③服务质保方案、④培训方案、 ⑤服务承</w:t>
            </w:r>
            <w:r>
              <w:rPr>
                <w:rFonts w:hint="eastAsia" w:ascii="仿宋" w:hAnsi="仿宋" w:eastAsia="仿宋" w:cs="仿宋"/>
                <w:b w:val="0"/>
                <w:bCs w:val="0"/>
                <w:color w:val="auto"/>
                <w:kern w:val="2"/>
                <w:sz w:val="24"/>
                <w:szCs w:val="24"/>
                <w:highlight w:val="none"/>
                <w:lang w:val="en-US" w:eastAsia="zh-CN" w:bidi="ar-SA"/>
              </w:rPr>
              <w:t>诺等。以上内容符合实际情况、内容完善、完全响应采购要求的得5分。每缺漏一项扣1分，所提供的方案中每有一处存在不足（不足是指：该方面内容体现不齐全；阐述存在逻辑错误；涉及内容无重点，不能体现出本项目的特点；语言错误或存在歧义；与本项目实际不相符；项目名称、实施地点与本项目不一致等）的扣0.5分，扣完为止。</w:t>
            </w:r>
          </w:p>
        </w:tc>
      </w:tr>
    </w:tbl>
    <w:p>
      <w:pPr>
        <w:pStyle w:val="35"/>
        <w:ind w:left="0" w:leftChars="0" w:firstLine="0" w:firstLineChars="0"/>
        <w:rPr>
          <w:rFonts w:ascii="宋体"/>
          <w:color w:val="auto"/>
        </w:rPr>
      </w:pPr>
    </w:p>
    <w:p>
      <w:pPr>
        <w:pStyle w:val="4"/>
        <w:pageBreakBefore w:val="0"/>
        <w:widowControl w:val="0"/>
        <w:kinsoku/>
        <w:wordWrap/>
        <w:overflowPunct/>
        <w:topLinePunct w:val="0"/>
        <w:autoSpaceDE/>
        <w:autoSpaceDN/>
        <w:bidi w:val="0"/>
        <w:adjustRightInd/>
        <w:snapToGrid/>
        <w:ind w:firstLine="643" w:firstLineChars="200"/>
        <w:textAlignment w:val="auto"/>
        <w:rPr>
          <w:color w:val="auto"/>
        </w:rPr>
      </w:pPr>
      <w:bookmarkStart w:id="666" w:name="_Toc23494"/>
      <w:bookmarkStart w:id="667" w:name="_Toc513216393"/>
      <w:bookmarkStart w:id="668" w:name="_Toc513635043"/>
      <w:bookmarkStart w:id="669" w:name="_Toc217446060"/>
      <w:r>
        <w:rPr>
          <w:rFonts w:hint="eastAsia"/>
          <w:color w:val="auto"/>
        </w:rPr>
        <w:t>4.废标</w:t>
      </w:r>
      <w:bookmarkEnd w:id="666"/>
      <w:bookmarkEnd w:id="667"/>
      <w:bookmarkEnd w:id="668"/>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本次采购活动中，出现下列情形之一的，予以废标：</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1</w:t>
      </w:r>
      <w:r>
        <w:rPr>
          <w:rFonts w:hint="eastAsia"/>
          <w:color w:val="auto"/>
        </w:rPr>
        <w:t>）符合专业条件的响应人或者对比选文件作实质响应的响应人不足三家的；</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2</w:t>
      </w:r>
      <w:r>
        <w:rPr>
          <w:rFonts w:hint="eastAsia"/>
          <w:color w:val="auto"/>
        </w:rPr>
        <w:t>）出现影响采购公正的违法、违规行为的；</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3</w:t>
      </w:r>
      <w:r>
        <w:rPr>
          <w:rFonts w:hint="eastAsia"/>
          <w:color w:val="auto"/>
        </w:rPr>
        <w:t>）响应人的报价均超过了采购预算，采购人不能支付的；</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w:t>
      </w:r>
      <w:r>
        <w:rPr>
          <w:color w:val="auto"/>
        </w:rPr>
        <w:t>4</w:t>
      </w:r>
      <w:r>
        <w:rPr>
          <w:rFonts w:hint="eastAsia"/>
          <w:color w:val="auto"/>
        </w:rPr>
        <w:t>）因重大变故，采购任务取消的。</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废标后，采购人应在</w:t>
      </w:r>
      <w:r>
        <w:rPr>
          <w:rFonts w:hint="eastAsia"/>
          <w:color w:val="auto"/>
          <w:lang w:val="en-US" w:eastAsia="zh-CN"/>
        </w:rPr>
        <w:t>成都开放大学官</w:t>
      </w:r>
      <w:r>
        <w:rPr>
          <w:rFonts w:hint="eastAsia"/>
          <w:color w:val="auto"/>
        </w:rPr>
        <w:t>网上公告，并公告废标的详细理由。</w:t>
      </w:r>
    </w:p>
    <w:p>
      <w:pPr>
        <w:pStyle w:val="4"/>
        <w:pageBreakBefore w:val="0"/>
        <w:widowControl w:val="0"/>
        <w:kinsoku/>
        <w:wordWrap/>
        <w:overflowPunct/>
        <w:topLinePunct w:val="0"/>
        <w:autoSpaceDE/>
        <w:autoSpaceDN/>
        <w:bidi w:val="0"/>
        <w:adjustRightInd/>
        <w:snapToGrid/>
        <w:spacing w:before="0" w:after="0"/>
        <w:ind w:firstLine="643" w:firstLineChars="200"/>
        <w:textAlignment w:val="auto"/>
        <w:rPr>
          <w:color w:val="auto"/>
        </w:rPr>
      </w:pPr>
      <w:bookmarkStart w:id="670" w:name="_Toc17636"/>
      <w:bookmarkStart w:id="671" w:name="_Toc513216394"/>
      <w:bookmarkStart w:id="672" w:name="_Toc513635044"/>
      <w:r>
        <w:rPr>
          <w:rFonts w:hint="eastAsia"/>
          <w:color w:val="auto"/>
        </w:rPr>
        <w:t>5.定标</w:t>
      </w:r>
      <w:bookmarkEnd w:id="669"/>
      <w:bookmarkEnd w:id="670"/>
      <w:bookmarkEnd w:id="671"/>
      <w:bookmarkEnd w:id="672"/>
      <w:bookmarkStart w:id="673" w:name="_Toc217446061"/>
    </w:p>
    <w:bookmarkEnd w:id="673"/>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5</w:t>
      </w:r>
      <w:r>
        <w:rPr>
          <w:color w:val="auto"/>
        </w:rPr>
        <w:t xml:space="preserve">.1 </w:t>
      </w:r>
      <w:r>
        <w:rPr>
          <w:rFonts w:hint="eastAsia"/>
          <w:color w:val="auto"/>
        </w:rPr>
        <w:t>定标原则：本项目根据评委会推荐的成交候选人名单，按顺序确定成交人。</w:t>
      </w:r>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bookmarkStart w:id="674" w:name="_Toc217446062"/>
      <w:r>
        <w:rPr>
          <w:rFonts w:hint="eastAsia"/>
          <w:color w:val="auto"/>
        </w:rPr>
        <w:t>5</w:t>
      </w:r>
      <w:r>
        <w:rPr>
          <w:color w:val="auto"/>
        </w:rPr>
        <w:t xml:space="preserve">.2 </w:t>
      </w:r>
      <w:r>
        <w:rPr>
          <w:rFonts w:hint="eastAsia"/>
          <w:color w:val="auto"/>
        </w:rPr>
        <w:t>定标程序</w:t>
      </w:r>
      <w:bookmarkEnd w:id="674"/>
    </w:p>
    <w:p>
      <w:pPr>
        <w:pageBreakBefore w:val="0"/>
        <w:widowControl w:val="0"/>
        <w:kinsoku/>
        <w:wordWrap/>
        <w:overflowPunct/>
        <w:topLinePunct w:val="0"/>
        <w:autoSpaceDE/>
        <w:autoSpaceDN/>
        <w:bidi w:val="0"/>
        <w:adjustRightInd/>
        <w:snapToGrid/>
        <w:ind w:left="0" w:leftChars="0" w:firstLine="480" w:firstLineChars="200"/>
        <w:textAlignment w:val="auto"/>
        <w:rPr>
          <w:color w:val="auto"/>
        </w:rPr>
      </w:pPr>
      <w:r>
        <w:rPr>
          <w:rFonts w:hint="eastAsia"/>
          <w:color w:val="auto"/>
        </w:rPr>
        <w:t>5</w:t>
      </w:r>
      <w:r>
        <w:rPr>
          <w:color w:val="auto"/>
        </w:rPr>
        <w:t xml:space="preserve">.2.1 </w:t>
      </w:r>
      <w:r>
        <w:rPr>
          <w:rFonts w:hint="eastAsia"/>
          <w:color w:val="auto"/>
        </w:rPr>
        <w:t>评委会将评标情况写出书面报告，推荐成交候选人，并按照综合得分高低标明排列顺序。综合得分相同的，按比选报价由低到高顺序排列。得分且比选报价相同的，按技术指标优劣顺序排列。</w:t>
      </w:r>
    </w:p>
    <w:p>
      <w:pPr>
        <w:ind w:firstLine="480"/>
        <w:rPr>
          <w:color w:val="auto"/>
        </w:rPr>
      </w:pPr>
      <w:r>
        <w:rPr>
          <w:rFonts w:hint="eastAsia"/>
          <w:color w:val="auto"/>
        </w:rPr>
        <w:t>5</w:t>
      </w:r>
      <w:r>
        <w:rPr>
          <w:color w:val="auto"/>
        </w:rPr>
        <w:t xml:space="preserve">.2.2 </w:t>
      </w:r>
      <w:r>
        <w:rPr>
          <w:rFonts w:hint="eastAsia"/>
          <w:color w:val="auto"/>
        </w:rPr>
        <w:t>采购人按照评标报告中推荐的成交候选人顺序确定成交人。</w:t>
      </w:r>
    </w:p>
    <w:p>
      <w:pPr>
        <w:ind w:firstLine="480"/>
        <w:rPr>
          <w:color w:val="auto"/>
        </w:rPr>
      </w:pPr>
      <w:r>
        <w:rPr>
          <w:rFonts w:hint="eastAsia"/>
          <w:color w:val="auto"/>
        </w:rPr>
        <w:t>注意，采购人按照推荐的成交候选人顺序确定成交人，不能认为采购人只能确定第一成交候选人为成交人，采购人有正当理由的，可以确定后一顺序成交候选人为成交人，依次类推。</w:t>
      </w:r>
    </w:p>
    <w:p>
      <w:pPr>
        <w:ind w:firstLine="480"/>
        <w:rPr>
          <w:rFonts w:hint="eastAsia"/>
          <w:color w:val="auto"/>
        </w:rPr>
      </w:pPr>
      <w:r>
        <w:rPr>
          <w:rFonts w:hint="eastAsia"/>
          <w:color w:val="auto"/>
        </w:rPr>
        <w:t>5</w:t>
      </w:r>
      <w:r>
        <w:rPr>
          <w:color w:val="auto"/>
        </w:rPr>
        <w:t xml:space="preserve">.2.3 </w:t>
      </w:r>
      <w:r>
        <w:rPr>
          <w:rFonts w:hint="eastAsia"/>
          <w:color w:val="auto"/>
        </w:rPr>
        <w:t>根据采购人确定的成交人，采购人在</w:t>
      </w:r>
      <w:r>
        <w:rPr>
          <w:rFonts w:hint="eastAsia"/>
          <w:color w:val="auto"/>
          <w:lang w:val="en-US" w:eastAsia="zh-CN"/>
        </w:rPr>
        <w:t>成都开放大学官</w:t>
      </w:r>
      <w:r>
        <w:rPr>
          <w:rFonts w:hint="eastAsia"/>
          <w:color w:val="auto"/>
        </w:rPr>
        <w:t>网上发布成交公告，同时向成交人发出成交通知书。</w:t>
      </w:r>
    </w:p>
    <w:p>
      <w:pPr>
        <w:ind w:firstLine="480"/>
        <w:rPr>
          <w:color w:val="auto"/>
        </w:rPr>
      </w:pPr>
      <w:r>
        <w:rPr>
          <w:rFonts w:hint="eastAsia"/>
          <w:color w:val="auto"/>
        </w:rPr>
        <w:t>5</w:t>
      </w:r>
      <w:r>
        <w:rPr>
          <w:color w:val="auto"/>
        </w:rPr>
        <w:t>.2.4</w:t>
      </w:r>
      <w:r>
        <w:rPr>
          <w:rFonts w:hint="eastAsia"/>
          <w:color w:val="auto"/>
        </w:rPr>
        <w:t>采购单位不解释成交或落标原因，不退回响应文件和其他比选资料。</w:t>
      </w:r>
    </w:p>
    <w:p>
      <w:pPr>
        <w:pStyle w:val="3"/>
        <w:spacing w:line="276" w:lineRule="auto"/>
        <w:ind w:firstLine="482"/>
        <w:rPr>
          <w:rFonts w:ascii="黑体" w:hAnsi="黑体"/>
          <w:color w:val="auto"/>
          <w:sz w:val="32"/>
          <w:szCs w:val="32"/>
        </w:rPr>
      </w:pPr>
      <w:r>
        <w:rPr>
          <w:rFonts w:ascii="宋体"/>
          <w:color w:val="auto"/>
          <w:sz w:val="24"/>
        </w:rPr>
        <w:br w:type="page"/>
      </w:r>
      <w:bookmarkEnd w:id="661"/>
      <w:bookmarkStart w:id="675" w:name="_Toc513216395"/>
      <w:bookmarkStart w:id="676" w:name="_Toc513635045"/>
      <w:bookmarkStart w:id="677" w:name="_Toc1363"/>
      <w:r>
        <w:rPr>
          <w:rFonts w:hint="eastAsia" w:ascii="黑体" w:hAnsi="黑体"/>
          <w:color w:val="auto"/>
          <w:sz w:val="32"/>
          <w:szCs w:val="32"/>
        </w:rPr>
        <w:t>第六章</w:t>
      </w:r>
      <w:r>
        <w:rPr>
          <w:rFonts w:ascii="黑体" w:hAnsi="黑体"/>
          <w:color w:val="auto"/>
          <w:sz w:val="32"/>
          <w:szCs w:val="32"/>
        </w:rPr>
        <w:t xml:space="preserve">  </w:t>
      </w:r>
      <w:r>
        <w:rPr>
          <w:rFonts w:hint="eastAsia" w:ascii="黑体" w:hAnsi="黑体"/>
          <w:color w:val="auto"/>
          <w:sz w:val="32"/>
          <w:szCs w:val="32"/>
        </w:rPr>
        <w:t>合同主要条款</w:t>
      </w:r>
      <w:bookmarkEnd w:id="675"/>
      <w:bookmarkEnd w:id="676"/>
      <w:bookmarkEnd w:id="677"/>
    </w:p>
    <w:p>
      <w:pPr>
        <w:ind w:firstLine="480"/>
        <w:jc w:val="center"/>
        <w:rPr>
          <w:color w:val="auto"/>
        </w:rPr>
      </w:pPr>
      <w:r>
        <w:rPr>
          <w:rFonts w:hint="eastAsia"/>
          <w:color w:val="auto"/>
        </w:rPr>
        <w:t>（本合同条款为财政部门提供的格式模版，仅供参考）</w:t>
      </w:r>
    </w:p>
    <w:p>
      <w:pPr>
        <w:ind w:firstLine="480"/>
        <w:rPr>
          <w:rFonts w:ascii="宋体" w:hAnsi="宋体"/>
          <w:color w:val="auto"/>
        </w:rPr>
      </w:pPr>
      <w:r>
        <w:rPr>
          <w:rFonts w:ascii="宋体" w:hAnsi="宋体"/>
          <w:color w:val="auto"/>
        </w:rPr>
        <w:t>合同编号：</w:t>
      </w:r>
      <w:r>
        <w:rPr>
          <w:rFonts w:hint="eastAsia" w:ascii="宋体" w:hAnsi="宋体"/>
          <w:color w:val="auto"/>
        </w:rPr>
        <w:t xml:space="preserve">        </w:t>
      </w:r>
      <w:r>
        <w:rPr>
          <w:rFonts w:hint="eastAsia"/>
          <w:color w:val="auto"/>
          <w:szCs w:val="21"/>
        </w:rPr>
        <w:t>。</w:t>
      </w:r>
    </w:p>
    <w:p>
      <w:pPr>
        <w:ind w:firstLine="480"/>
        <w:rPr>
          <w:rFonts w:ascii="宋体" w:hAnsi="宋体"/>
          <w:color w:val="auto"/>
        </w:rPr>
      </w:pPr>
      <w:r>
        <w:rPr>
          <w:rFonts w:ascii="宋体" w:hAnsi="宋体"/>
          <w:color w:val="auto"/>
        </w:rPr>
        <w:t>签订地点：</w:t>
      </w:r>
      <w:r>
        <w:rPr>
          <w:rFonts w:hint="eastAsia"/>
          <w:color w:val="auto"/>
          <w:szCs w:val="21"/>
        </w:rPr>
        <w:t>XXXX。</w:t>
      </w:r>
    </w:p>
    <w:p>
      <w:pPr>
        <w:ind w:firstLine="480"/>
        <w:rPr>
          <w:rFonts w:ascii="宋体" w:hAnsi="宋体"/>
          <w:color w:val="auto"/>
        </w:rPr>
      </w:pPr>
      <w:r>
        <w:rPr>
          <w:rFonts w:ascii="宋体" w:hAnsi="宋体"/>
          <w:color w:val="auto"/>
        </w:rPr>
        <w:t>签订时间：</w:t>
      </w:r>
      <w:r>
        <w:rPr>
          <w:rFonts w:hint="eastAsia"/>
          <w:color w:val="auto"/>
          <w:szCs w:val="21"/>
        </w:rPr>
        <w:t>XXXX</w:t>
      </w:r>
      <w:r>
        <w:rPr>
          <w:rFonts w:ascii="宋体" w:hAnsi="宋体"/>
          <w:color w:val="auto"/>
        </w:rPr>
        <w:t>年</w:t>
      </w:r>
      <w:r>
        <w:rPr>
          <w:rFonts w:hint="eastAsia"/>
          <w:color w:val="auto"/>
          <w:szCs w:val="21"/>
        </w:rPr>
        <w:t>XX</w:t>
      </w:r>
      <w:r>
        <w:rPr>
          <w:rFonts w:ascii="宋体" w:hAnsi="宋体"/>
          <w:color w:val="auto"/>
        </w:rPr>
        <w:t>月</w:t>
      </w:r>
      <w:r>
        <w:rPr>
          <w:rFonts w:hint="eastAsia"/>
          <w:color w:val="auto"/>
          <w:szCs w:val="21"/>
        </w:rPr>
        <w:t>XX</w:t>
      </w:r>
      <w:r>
        <w:rPr>
          <w:rFonts w:ascii="宋体" w:hAnsi="宋体"/>
          <w:color w:val="auto"/>
        </w:rPr>
        <w:t>日</w:t>
      </w:r>
      <w:r>
        <w:rPr>
          <w:rFonts w:hint="eastAsia" w:ascii="宋体" w:hAnsi="宋体"/>
          <w:color w:val="auto"/>
        </w:rPr>
        <w:t>。</w:t>
      </w:r>
    </w:p>
    <w:p>
      <w:pPr>
        <w:ind w:firstLine="480"/>
        <w:rPr>
          <w:rFonts w:ascii="宋体" w:hAnsi="宋体"/>
          <w:color w:val="auto"/>
        </w:rPr>
      </w:pPr>
      <w:r>
        <w:rPr>
          <w:rFonts w:hint="eastAsia" w:ascii="宋体" w:hAnsi="宋体"/>
          <w:color w:val="auto"/>
        </w:rPr>
        <w:t>采购人（</w:t>
      </w:r>
      <w:r>
        <w:rPr>
          <w:rFonts w:ascii="宋体" w:hAnsi="宋体"/>
          <w:color w:val="auto"/>
        </w:rPr>
        <w:t>甲方</w:t>
      </w:r>
      <w:r>
        <w:rPr>
          <w:rFonts w:hint="eastAsia" w:ascii="宋体" w:hAnsi="宋体"/>
          <w:color w:val="auto"/>
        </w:rPr>
        <w:t>）</w:t>
      </w:r>
      <w:r>
        <w:rPr>
          <w:rFonts w:ascii="宋体" w:hAnsi="宋体"/>
          <w:color w:val="auto"/>
        </w:rPr>
        <w:t>：</w:t>
      </w:r>
      <w:r>
        <w:rPr>
          <w:rFonts w:ascii="宋体" w:hAnsi="宋体"/>
          <w:color w:val="auto"/>
          <w:u w:val="single"/>
        </w:rPr>
        <w:t xml:space="preserve">                              </w:t>
      </w:r>
    </w:p>
    <w:p>
      <w:pPr>
        <w:ind w:firstLine="480"/>
        <w:rPr>
          <w:rFonts w:ascii="宋体" w:hAnsi="宋体"/>
          <w:color w:val="auto"/>
          <w:u w:val="single"/>
        </w:rPr>
      </w:pPr>
      <w:r>
        <w:rPr>
          <w:rFonts w:hint="eastAsia" w:ascii="宋体" w:hAnsi="宋体"/>
          <w:color w:val="auto"/>
        </w:rPr>
        <w:t>供应商（乙</w:t>
      </w:r>
      <w:r>
        <w:rPr>
          <w:rFonts w:ascii="宋体" w:hAnsi="宋体"/>
          <w:color w:val="auto"/>
        </w:rPr>
        <w:t>方</w:t>
      </w:r>
      <w:r>
        <w:rPr>
          <w:rFonts w:hint="eastAsia" w:ascii="宋体" w:hAnsi="宋体"/>
          <w:color w:val="auto"/>
        </w:rPr>
        <w:t>）</w:t>
      </w:r>
      <w:r>
        <w:rPr>
          <w:rFonts w:ascii="宋体" w:hAnsi="宋体"/>
          <w:color w:val="auto"/>
        </w:rPr>
        <w:t>：</w:t>
      </w:r>
      <w:r>
        <w:rPr>
          <w:rFonts w:ascii="宋体" w:hAnsi="宋体"/>
          <w:color w:val="auto"/>
          <w:u w:val="single"/>
        </w:rPr>
        <w:t xml:space="preserve">                              </w:t>
      </w:r>
    </w:p>
    <w:p>
      <w:pPr>
        <w:ind w:firstLine="480"/>
        <w:rPr>
          <w:color w:val="auto"/>
        </w:rPr>
      </w:pPr>
      <w:r>
        <w:rPr>
          <w:color w:val="auto"/>
        </w:rPr>
        <w:t>依据《中华人民共和国合同法》、《</w:t>
      </w:r>
      <w:r>
        <w:rPr>
          <w:rFonts w:hint="eastAsia"/>
          <w:color w:val="auto"/>
        </w:rPr>
        <w:t>中华人民共和国招标投标法</w:t>
      </w:r>
      <w:r>
        <w:rPr>
          <w:color w:val="auto"/>
        </w:rPr>
        <w:t>》</w:t>
      </w:r>
      <w:r>
        <w:rPr>
          <w:rFonts w:hint="eastAsia"/>
          <w:color w:val="auto"/>
        </w:rPr>
        <w:t>与项目行业有关的法律法规，以及</w:t>
      </w:r>
      <w:r>
        <w:rPr>
          <w:rFonts w:hint="eastAsia" w:cs="宋体"/>
          <w:color w:val="auto"/>
          <w:kern w:val="0"/>
          <w:u w:val="single"/>
        </w:rPr>
        <w:t>成都开放大学</w:t>
      </w:r>
      <w:r>
        <w:rPr>
          <w:rFonts w:hint="eastAsia" w:cs="宋体"/>
          <w:color w:val="auto"/>
          <w:kern w:val="0"/>
          <w:highlight w:val="yellow"/>
          <w:u w:val="single"/>
        </w:rPr>
        <w:t>XXX</w:t>
      </w:r>
      <w:r>
        <w:rPr>
          <w:rFonts w:hint="eastAsia" w:cs="宋体"/>
          <w:color w:val="auto"/>
          <w:kern w:val="0"/>
          <w:u w:val="single"/>
        </w:rPr>
        <w:t>采购项目</w:t>
      </w:r>
      <w:r>
        <w:rPr>
          <w:rFonts w:hint="eastAsia"/>
          <w:color w:val="auto"/>
        </w:rPr>
        <w:t>（项目编号：</w:t>
      </w:r>
      <w:r>
        <w:rPr>
          <w:rFonts w:hint="eastAsia" w:cs="宋体"/>
          <w:b/>
          <w:color w:val="auto"/>
          <w:kern w:val="0"/>
          <w:highlight w:val="yellow"/>
        </w:rPr>
        <w:t>CDkD (招)202 x</w:t>
      </w:r>
      <w:r>
        <w:rPr>
          <w:rFonts w:cs="宋体"/>
          <w:b/>
          <w:color w:val="auto"/>
          <w:kern w:val="0"/>
          <w:highlight w:val="yellow"/>
        </w:rPr>
        <w:t>–</w:t>
      </w:r>
      <w:r>
        <w:rPr>
          <w:rFonts w:hint="eastAsia" w:cs="宋体"/>
          <w:b/>
          <w:color w:val="auto"/>
          <w:kern w:val="0"/>
          <w:highlight w:val="yellow"/>
        </w:rPr>
        <w:t>(部门缩写)XXXX（月日期代替）号</w:t>
      </w:r>
      <w:r>
        <w:rPr>
          <w:rFonts w:hint="eastAsia"/>
          <w:color w:val="auto"/>
        </w:rPr>
        <w:t>）</w:t>
      </w:r>
      <w:r>
        <w:rPr>
          <w:color w:val="auto"/>
        </w:rPr>
        <w:t>的</w:t>
      </w:r>
      <w:r>
        <w:rPr>
          <w:rFonts w:hint="eastAsia"/>
          <w:color w:val="auto"/>
        </w:rPr>
        <w:t>《比选文件》</w:t>
      </w:r>
      <w:r>
        <w:rPr>
          <w:color w:val="auto"/>
        </w:rPr>
        <w:t>，</w:t>
      </w:r>
      <w:r>
        <w:rPr>
          <w:rFonts w:hint="eastAsia"/>
          <w:color w:val="auto"/>
        </w:rPr>
        <w:t>乙方的《响应文件》及《成交通知书》，甲、乙双方同意签订本合同。详细技术说明及其他有关合同项目的特定信息由合同附件予以说明，合同附件及本项目的《比选文件》、《响应文件》、《成交通知书》等均为本合同的组成部分。</w:t>
      </w:r>
      <w:r>
        <w:rPr>
          <w:color w:val="auto"/>
        </w:rPr>
        <w:t xml:space="preserve"> </w:t>
      </w:r>
    </w:p>
    <w:p>
      <w:pPr>
        <w:ind w:firstLine="0" w:firstLineChars="0"/>
        <w:rPr>
          <w:b/>
          <w:color w:val="auto"/>
          <w:sz w:val="28"/>
        </w:rPr>
      </w:pPr>
      <w:bookmarkStart w:id="678" w:name="_Toc440385084"/>
      <w:bookmarkStart w:id="679" w:name="_Toc19295"/>
      <w:bookmarkStart w:id="680" w:name="_Toc474491573"/>
      <w:bookmarkStart w:id="681" w:name="_Toc466563216"/>
      <w:bookmarkStart w:id="682" w:name="_Toc513464882"/>
      <w:bookmarkStart w:id="683" w:name="_Toc362988513"/>
      <w:bookmarkStart w:id="684" w:name="_Toc9065"/>
      <w:bookmarkStart w:id="685" w:name="_Toc361325807"/>
      <w:bookmarkStart w:id="686" w:name="_Toc23254"/>
      <w:r>
        <w:rPr>
          <w:rFonts w:hint="eastAsia"/>
          <w:b/>
          <w:color w:val="auto"/>
          <w:sz w:val="28"/>
        </w:rPr>
        <w:t>第一条  项目基本情况</w:t>
      </w:r>
      <w:bookmarkEnd w:id="678"/>
      <w:bookmarkEnd w:id="679"/>
      <w:bookmarkEnd w:id="680"/>
      <w:bookmarkEnd w:id="681"/>
      <w:bookmarkEnd w:id="682"/>
      <w:bookmarkEnd w:id="683"/>
      <w:bookmarkEnd w:id="684"/>
      <w:bookmarkEnd w:id="685"/>
      <w:bookmarkEnd w:id="686"/>
    </w:p>
    <w:p>
      <w:pPr>
        <w:ind w:firstLine="480"/>
        <w:rPr>
          <w:color w:val="auto"/>
        </w:rPr>
      </w:pPr>
      <w:bookmarkStart w:id="687" w:name="_Toc474491574"/>
      <w:bookmarkStart w:id="688" w:name="_Toc440385085"/>
      <w:bookmarkStart w:id="689" w:name="_Toc513464883"/>
      <w:bookmarkStart w:id="690" w:name="_Toc466563217"/>
      <w:bookmarkStart w:id="691" w:name="_Toc362988514"/>
      <w:bookmarkStart w:id="692" w:name="_Toc20671"/>
      <w:bookmarkStart w:id="693" w:name="_Toc13452"/>
      <w:bookmarkStart w:id="694" w:name="_Toc361325808"/>
      <w:bookmarkStart w:id="695" w:name="_Toc23070"/>
      <w:r>
        <w:rPr>
          <w:rFonts w:hint="eastAsia"/>
          <w:color w:val="auto"/>
        </w:rPr>
        <w:t>成都开放大学根据工作需要，需</w:t>
      </w:r>
      <w:r>
        <w:rPr>
          <w:rFonts w:hint="eastAsia"/>
          <w:color w:val="auto"/>
          <w:highlight w:val="yellow"/>
        </w:rPr>
        <w:t>XXXXXX</w:t>
      </w:r>
      <w:r>
        <w:rPr>
          <w:rFonts w:hint="eastAsia"/>
          <w:color w:val="auto"/>
        </w:rPr>
        <w:t>工作。本项目拟通过比选方式确定排名</w:t>
      </w:r>
      <w:r>
        <w:rPr>
          <w:rFonts w:hint="eastAsia"/>
          <w:color w:val="auto"/>
          <w:highlight w:val="yellow"/>
        </w:rPr>
        <w:t>前X的X家</w:t>
      </w:r>
      <w:r>
        <w:rPr>
          <w:rFonts w:hint="eastAsia"/>
          <w:color w:val="auto"/>
        </w:rPr>
        <w:t>供应商为成都开放大学提供合同签订后</w:t>
      </w:r>
      <w:r>
        <w:rPr>
          <w:rFonts w:hint="eastAsia"/>
          <w:color w:val="auto"/>
          <w:highlight w:val="yellow"/>
        </w:rPr>
        <w:t>X</w:t>
      </w:r>
      <w:r>
        <w:rPr>
          <w:rFonts w:hint="eastAsia"/>
          <w:color w:val="auto"/>
        </w:rPr>
        <w:t>年内的</w:t>
      </w:r>
      <w:r>
        <w:rPr>
          <w:rFonts w:hint="eastAsia"/>
          <w:color w:val="auto"/>
          <w:highlight w:val="yellow"/>
        </w:rPr>
        <w:t>XXX</w:t>
      </w:r>
      <w:r>
        <w:rPr>
          <w:rFonts w:hint="eastAsia"/>
          <w:color w:val="auto"/>
        </w:rPr>
        <w:t>工作。</w:t>
      </w:r>
    </w:p>
    <w:p>
      <w:pPr>
        <w:ind w:firstLine="0" w:firstLineChars="0"/>
        <w:rPr>
          <w:b/>
          <w:color w:val="auto"/>
          <w:sz w:val="28"/>
        </w:rPr>
      </w:pPr>
      <w:r>
        <w:rPr>
          <w:rFonts w:hint="eastAsia"/>
          <w:b/>
          <w:color w:val="auto"/>
          <w:sz w:val="28"/>
        </w:rPr>
        <w:t>第二条  合同期限</w:t>
      </w:r>
      <w:bookmarkEnd w:id="687"/>
      <w:bookmarkEnd w:id="688"/>
      <w:bookmarkEnd w:id="689"/>
      <w:bookmarkEnd w:id="690"/>
      <w:bookmarkEnd w:id="691"/>
      <w:bookmarkEnd w:id="692"/>
      <w:bookmarkEnd w:id="693"/>
      <w:bookmarkEnd w:id="694"/>
      <w:bookmarkEnd w:id="695"/>
    </w:p>
    <w:p>
      <w:pPr>
        <w:pStyle w:val="326"/>
        <w:spacing w:line="360" w:lineRule="exact"/>
        <w:ind w:left="53" w:leftChars="22" w:firstLine="120" w:firstLineChars="50"/>
        <w:jc w:val="both"/>
        <w:rPr>
          <w:color w:val="auto"/>
          <w:highlight w:val="yellow"/>
        </w:rPr>
      </w:pPr>
      <w:bookmarkStart w:id="696" w:name="_Toc211911348"/>
      <w:bookmarkStart w:id="697" w:name="_Toc286993786"/>
      <w:bookmarkStart w:id="698" w:name="_Toc251768862"/>
      <w:bookmarkStart w:id="699" w:name="_Toc211854449"/>
      <w:bookmarkStart w:id="700" w:name="_Toc225670751"/>
      <w:bookmarkStart w:id="701" w:name="_Toc238984975"/>
      <w:bookmarkStart w:id="702" w:name="_Toc232492928"/>
      <w:bookmarkStart w:id="703" w:name="_Toc283019214"/>
      <w:bookmarkStart w:id="704" w:name="_Toc185395249"/>
      <w:bookmarkStart w:id="705" w:name="_Toc237145406"/>
      <w:bookmarkStart w:id="706" w:name="_Toc282696226"/>
      <w:bookmarkStart w:id="707" w:name="_Toc212019594"/>
      <w:bookmarkStart w:id="708" w:name="_Toc241833903"/>
      <w:bookmarkStart w:id="709" w:name="_Toc239568418"/>
      <w:bookmarkStart w:id="710" w:name="_Toc225654644"/>
      <w:bookmarkStart w:id="711" w:name="_Toc247334841"/>
      <w:bookmarkStart w:id="712" w:name="_Toc225244852"/>
      <w:bookmarkStart w:id="713" w:name="_Toc239233914"/>
      <w:r>
        <w:rPr>
          <w:rFonts w:hint="eastAsia"/>
          <w:color w:val="auto"/>
        </w:rPr>
        <w:t>服务期限：</w:t>
      </w:r>
      <w:r>
        <w:rPr>
          <w:rFonts w:hint="eastAsia"/>
          <w:color w:val="auto"/>
          <w:highlight w:val="yellow"/>
          <w:lang w:val="zh-CN"/>
        </w:rPr>
        <w:t>服务期限：</w:t>
      </w:r>
      <w:r>
        <w:rPr>
          <w:rFonts w:hint="eastAsia" w:asciiTheme="minorEastAsia" w:hAnsiTheme="minorEastAsia" w:eastAsiaTheme="minorEastAsia"/>
          <w:color w:val="auto"/>
          <w:highlight w:val="yellow"/>
        </w:rPr>
        <w:t>X年，合同一年一签</w:t>
      </w:r>
      <w:r>
        <w:rPr>
          <w:rFonts w:hint="eastAsia"/>
          <w:color w:val="auto"/>
          <w:highlight w:val="yellow"/>
          <w:lang w:val="zh-CN"/>
        </w:rPr>
        <w:t>。</w:t>
      </w:r>
    </w:p>
    <w:p>
      <w:pPr>
        <w:ind w:firstLine="0" w:firstLineChars="0"/>
        <w:rPr>
          <w:b/>
          <w:color w:val="auto"/>
          <w:sz w:val="28"/>
        </w:rPr>
      </w:pPr>
      <w:bookmarkStart w:id="714" w:name="_Toc361325809"/>
      <w:bookmarkStart w:id="715" w:name="_Toc474491575"/>
      <w:bookmarkStart w:id="716" w:name="_Toc466563218"/>
      <w:bookmarkStart w:id="717" w:name="_Toc362988515"/>
      <w:bookmarkStart w:id="718" w:name="_Toc25609"/>
      <w:bookmarkStart w:id="719" w:name="_Toc513464884"/>
      <w:bookmarkStart w:id="720" w:name="_Toc30997"/>
      <w:bookmarkStart w:id="721" w:name="_Toc440385086"/>
      <w:bookmarkStart w:id="722" w:name="_Toc20656"/>
      <w:r>
        <w:rPr>
          <w:rFonts w:hint="eastAsia"/>
          <w:b/>
          <w:color w:val="auto"/>
          <w:sz w:val="28"/>
        </w:rPr>
        <w:t>第三条  服务内容与质量标准</w:t>
      </w:r>
      <w:bookmarkEnd w:id="714"/>
      <w:bookmarkEnd w:id="715"/>
      <w:bookmarkEnd w:id="716"/>
      <w:bookmarkEnd w:id="717"/>
      <w:bookmarkEnd w:id="718"/>
      <w:bookmarkEnd w:id="719"/>
      <w:bookmarkEnd w:id="720"/>
      <w:bookmarkEnd w:id="721"/>
      <w:bookmarkEnd w:id="722"/>
    </w:p>
    <w:p>
      <w:pPr>
        <w:ind w:firstLine="480"/>
        <w:rPr>
          <w:rFonts w:ascii="宋体" w:hAnsi="宋体"/>
          <w:color w:val="auto"/>
        </w:rPr>
      </w:pPr>
      <w:r>
        <w:rPr>
          <w:rFonts w:hint="eastAsia" w:ascii="宋体" w:hAnsi="宋体"/>
          <w:color w:val="auto"/>
        </w:rPr>
        <w:t>1、</w:t>
      </w:r>
      <w:r>
        <w:rPr>
          <w:rFonts w:hint="eastAsia"/>
          <w:color w:val="auto"/>
        </w:rPr>
        <w:t>XXXX；</w:t>
      </w:r>
    </w:p>
    <w:p>
      <w:pPr>
        <w:ind w:firstLine="480"/>
        <w:rPr>
          <w:rFonts w:ascii="宋体" w:hAnsi="宋体"/>
          <w:color w:val="auto"/>
        </w:rPr>
      </w:pPr>
      <w:r>
        <w:rPr>
          <w:rFonts w:hint="eastAsia" w:ascii="宋体" w:hAnsi="宋体"/>
          <w:color w:val="auto"/>
        </w:rPr>
        <w:t>2、</w:t>
      </w:r>
      <w:r>
        <w:rPr>
          <w:rFonts w:hint="eastAsia"/>
          <w:color w:val="auto"/>
        </w:rPr>
        <w:t>XXXX；</w:t>
      </w:r>
    </w:p>
    <w:p>
      <w:pPr>
        <w:ind w:firstLine="480"/>
        <w:rPr>
          <w:rFonts w:ascii="宋体" w:hAnsi="宋体"/>
          <w:color w:val="auto"/>
        </w:rPr>
      </w:pPr>
      <w:r>
        <w:rPr>
          <w:rFonts w:hint="eastAsia"/>
          <w:color w:val="auto"/>
        </w:rPr>
        <w:t>3、XXXX．</w:t>
      </w:r>
    </w:p>
    <w:p>
      <w:pPr>
        <w:ind w:firstLine="480"/>
        <w:rPr>
          <w:rFonts w:ascii="宋体" w:hAnsi="宋体"/>
          <w:color w:val="auto"/>
        </w:rPr>
      </w:pPr>
      <w:r>
        <w:rPr>
          <w:rFonts w:ascii="宋体" w:hAnsi="宋体"/>
          <w:color w:val="auto"/>
        </w:rPr>
        <w:t>…</w:t>
      </w:r>
    </w:p>
    <w:p>
      <w:pPr>
        <w:ind w:firstLine="0" w:firstLineChars="0"/>
        <w:rPr>
          <w:b/>
          <w:color w:val="auto"/>
          <w:sz w:val="28"/>
        </w:rPr>
      </w:pPr>
      <w:bookmarkStart w:id="723" w:name="_Toc440385087"/>
      <w:bookmarkStart w:id="724" w:name="_Toc513464885"/>
      <w:bookmarkStart w:id="725" w:name="_Toc474491576"/>
      <w:bookmarkStart w:id="726" w:name="_Toc466563219"/>
      <w:bookmarkStart w:id="727" w:name="_Toc23547"/>
      <w:bookmarkStart w:id="728" w:name="_Toc19408"/>
      <w:bookmarkStart w:id="729" w:name="_Toc6930"/>
      <w:bookmarkStart w:id="730" w:name="_Toc362988516"/>
      <w:bookmarkStart w:id="731" w:name="_Toc361325810"/>
      <w:r>
        <w:rPr>
          <w:rFonts w:hint="eastAsia"/>
          <w:b/>
          <w:color w:val="auto"/>
          <w:sz w:val="28"/>
        </w:rPr>
        <w:t>第四条  付款时间及方式</w:t>
      </w:r>
      <w:bookmarkEnd w:id="723"/>
      <w:bookmarkEnd w:id="724"/>
      <w:bookmarkEnd w:id="725"/>
      <w:bookmarkEnd w:id="726"/>
      <w:bookmarkEnd w:id="727"/>
      <w:bookmarkEnd w:id="728"/>
      <w:bookmarkEnd w:id="729"/>
      <w:bookmarkEnd w:id="730"/>
      <w:bookmarkEnd w:id="731"/>
    </w:p>
    <w:p>
      <w:pPr>
        <w:ind w:firstLine="480"/>
        <w:rPr>
          <w:b/>
          <w:color w:val="auto"/>
          <w:sz w:val="28"/>
        </w:rPr>
      </w:pPr>
      <w:r>
        <w:rPr>
          <w:rFonts w:hint="eastAsia"/>
          <w:color w:val="auto"/>
        </w:rPr>
        <w:t>供应商与采购人签订采购合同后 10 个工作日内，采购人向供应商预付合同总价的</w:t>
      </w:r>
      <w:r>
        <w:rPr>
          <w:color w:val="auto"/>
        </w:rPr>
        <w:t>8</w:t>
      </w:r>
      <w:r>
        <w:rPr>
          <w:rFonts w:hint="eastAsia"/>
          <w:color w:val="auto"/>
        </w:rPr>
        <w:t>0%；</w:t>
      </w:r>
      <w:r>
        <w:rPr>
          <w:rFonts w:hint="eastAsia"/>
          <w:color w:val="auto"/>
          <w:highlight w:val="yellow"/>
        </w:rPr>
        <w:t>XXXX</w:t>
      </w:r>
      <w:r>
        <w:rPr>
          <w:rFonts w:hint="eastAsia"/>
          <w:color w:val="auto"/>
        </w:rPr>
        <w:t>项目结束验收完成且合格后的10个工作日内，由采购人向供应商支付合同剩余价款，供应商应开具相应等额合法的发票，并提供决算清单作为据实结算的付款依据。</w:t>
      </w:r>
    </w:p>
    <w:p>
      <w:pPr>
        <w:ind w:firstLine="0" w:firstLineChars="0"/>
        <w:rPr>
          <w:b/>
          <w:color w:val="auto"/>
          <w:sz w:val="28"/>
        </w:rPr>
      </w:pPr>
      <w:bookmarkStart w:id="732" w:name="_Toc9923"/>
      <w:bookmarkStart w:id="733" w:name="_Toc29342"/>
      <w:bookmarkStart w:id="734" w:name="_Toc513464886"/>
      <w:bookmarkStart w:id="735" w:name="_Toc466563220"/>
      <w:bookmarkStart w:id="736" w:name="_Toc6892"/>
      <w:bookmarkStart w:id="737" w:name="_Toc474491577"/>
      <w:bookmarkStart w:id="738" w:name="_Toc440385088"/>
      <w:r>
        <w:rPr>
          <w:rFonts w:hint="eastAsia"/>
          <w:b/>
          <w:color w:val="auto"/>
          <w:sz w:val="28"/>
        </w:rPr>
        <w:t>第五条  验收时间和地点</w:t>
      </w:r>
      <w:bookmarkEnd w:id="732"/>
      <w:bookmarkEnd w:id="733"/>
      <w:bookmarkEnd w:id="734"/>
      <w:bookmarkEnd w:id="735"/>
      <w:bookmarkEnd w:id="736"/>
      <w:bookmarkEnd w:id="737"/>
      <w:bookmarkEnd w:id="738"/>
    </w:p>
    <w:p>
      <w:pPr>
        <w:ind w:firstLine="480"/>
        <w:rPr>
          <w:rFonts w:ascii="宋体" w:hAnsi="宋体"/>
          <w:color w:val="auto"/>
          <w:highlight w:val="yellow"/>
        </w:rPr>
      </w:pPr>
      <w:r>
        <w:rPr>
          <w:rFonts w:hint="eastAsia" w:ascii="宋体" w:hAnsi="宋体"/>
          <w:color w:val="auto"/>
          <w:highlight w:val="yellow"/>
        </w:rPr>
        <w:t>验收时间：自签订合同生效后</w:t>
      </w:r>
      <w:r>
        <w:rPr>
          <w:rFonts w:hint="eastAsia" w:ascii="宋体" w:hAnsi="宋体"/>
          <w:color w:val="auto"/>
          <w:highlight w:val="yellow"/>
          <w:u w:val="single"/>
        </w:rPr>
        <w:t xml:space="preserve">      </w:t>
      </w:r>
      <w:r>
        <w:rPr>
          <w:rFonts w:hint="eastAsia" w:ascii="宋体" w:hAnsi="宋体"/>
          <w:color w:val="auto"/>
          <w:highlight w:val="yellow"/>
        </w:rPr>
        <w:t>天。</w:t>
      </w:r>
    </w:p>
    <w:p>
      <w:pPr>
        <w:ind w:firstLine="480"/>
        <w:rPr>
          <w:rFonts w:ascii="宋体" w:hAnsi="宋体"/>
          <w:color w:val="auto"/>
          <w:u w:val="single"/>
        </w:rPr>
      </w:pPr>
      <w:r>
        <w:rPr>
          <w:rFonts w:hint="eastAsia" w:ascii="宋体" w:hAnsi="宋体"/>
          <w:color w:val="auto"/>
        </w:rPr>
        <w:t>验收地点：</w:t>
      </w:r>
      <w:r>
        <w:rPr>
          <w:rFonts w:hint="eastAsia" w:ascii="宋体" w:hAnsi="宋体"/>
          <w:color w:val="auto"/>
          <w:u w:val="single"/>
        </w:rPr>
        <w:t xml:space="preserve"> </w:t>
      </w:r>
      <w:r>
        <w:rPr>
          <w:rFonts w:hint="eastAsia" w:ascii="宋体" w:hAnsi="宋体"/>
          <w:color w:val="auto"/>
          <w:u w:val="single"/>
          <w:lang w:val="zh-CN"/>
        </w:rPr>
        <w:t>成都开放大学指定地点</w:t>
      </w:r>
      <w:r>
        <w:rPr>
          <w:rFonts w:hint="eastAsia" w:ascii="宋体" w:hAnsi="宋体"/>
          <w:color w:val="auto"/>
          <w:u w:val="single"/>
        </w:rPr>
        <w:t>。</w:t>
      </w:r>
    </w:p>
    <w:p>
      <w:pPr>
        <w:ind w:firstLine="0" w:firstLineChars="0"/>
        <w:rPr>
          <w:b/>
          <w:color w:val="auto"/>
          <w:sz w:val="28"/>
        </w:rPr>
      </w:pPr>
      <w:bookmarkStart w:id="739" w:name="_Toc23205"/>
      <w:bookmarkStart w:id="740" w:name="_Toc3119"/>
      <w:bookmarkStart w:id="741" w:name="_Toc440385089"/>
      <w:bookmarkStart w:id="742" w:name="_Toc362988517"/>
      <w:bookmarkStart w:id="743" w:name="_Toc4963"/>
      <w:bookmarkStart w:id="744" w:name="_Toc361325811"/>
      <w:bookmarkStart w:id="745" w:name="_Toc474491578"/>
      <w:bookmarkStart w:id="746" w:name="_Toc466563221"/>
      <w:bookmarkStart w:id="747" w:name="_Toc513464887"/>
      <w:r>
        <w:rPr>
          <w:rFonts w:hint="eastAsia"/>
          <w:b/>
          <w:color w:val="auto"/>
          <w:sz w:val="28"/>
        </w:rPr>
        <w:t>第六条  知识产权</w:t>
      </w:r>
      <w:bookmarkEnd w:id="739"/>
      <w:bookmarkEnd w:id="740"/>
      <w:bookmarkEnd w:id="741"/>
      <w:bookmarkEnd w:id="742"/>
      <w:bookmarkEnd w:id="743"/>
      <w:bookmarkEnd w:id="744"/>
      <w:bookmarkEnd w:id="745"/>
      <w:bookmarkEnd w:id="746"/>
      <w:bookmarkEnd w:id="747"/>
    </w:p>
    <w:p>
      <w:pPr>
        <w:ind w:firstLine="480"/>
        <w:rPr>
          <w:color w:val="auto"/>
        </w:rPr>
      </w:pPr>
      <w:r>
        <w:rPr>
          <w:rFonts w:hint="eastAsia"/>
          <w:color w:val="auto"/>
        </w:rPr>
        <w:t>乙方应保证所提供的服务或其任何一部分均不会侵犯任何第三方的专利权、商标权或著作权。</w:t>
      </w:r>
    </w:p>
    <w:p>
      <w:pPr>
        <w:ind w:firstLine="0" w:firstLineChars="0"/>
        <w:rPr>
          <w:b/>
          <w:color w:val="auto"/>
          <w:sz w:val="28"/>
        </w:rPr>
      </w:pPr>
      <w:bookmarkStart w:id="748" w:name="_Toc8429"/>
      <w:bookmarkStart w:id="749" w:name="_Toc1756"/>
      <w:bookmarkStart w:id="750" w:name="_Toc440385090"/>
      <w:bookmarkStart w:id="751" w:name="_Toc362988518"/>
      <w:bookmarkStart w:id="752" w:name="_Toc513464888"/>
      <w:bookmarkStart w:id="753" w:name="_Toc466563222"/>
      <w:bookmarkStart w:id="754" w:name="_Toc361325812"/>
      <w:bookmarkStart w:id="755" w:name="_Toc28106"/>
      <w:bookmarkStart w:id="756" w:name="_Toc474491579"/>
      <w:r>
        <w:rPr>
          <w:rFonts w:hint="eastAsia"/>
          <w:b/>
          <w:color w:val="auto"/>
          <w:sz w:val="28"/>
        </w:rPr>
        <w:t>第七条  无产权瑕疵条款</w:t>
      </w:r>
      <w:bookmarkEnd w:id="748"/>
      <w:bookmarkEnd w:id="749"/>
      <w:bookmarkEnd w:id="750"/>
      <w:bookmarkEnd w:id="751"/>
      <w:bookmarkEnd w:id="752"/>
      <w:bookmarkEnd w:id="753"/>
      <w:bookmarkEnd w:id="754"/>
      <w:bookmarkEnd w:id="755"/>
      <w:bookmarkEnd w:id="756"/>
    </w:p>
    <w:p>
      <w:pPr>
        <w:ind w:firstLine="480"/>
        <w:rPr>
          <w:color w:val="auto"/>
        </w:rPr>
      </w:pPr>
      <w:r>
        <w:rPr>
          <w:rFonts w:hint="eastAsia"/>
          <w:color w:val="auto"/>
        </w:rPr>
        <w:t>乙方保证所提供的服务的所有权完全属于乙方且无任何抵押、查封等产权瑕疵。如有产权瑕疵的，视为乙方违约。乙方应负担由此而产生的一切损失。</w:t>
      </w:r>
    </w:p>
    <w:p>
      <w:pPr>
        <w:ind w:firstLine="0" w:firstLineChars="0"/>
        <w:rPr>
          <w:b/>
          <w:color w:val="auto"/>
          <w:sz w:val="28"/>
        </w:rPr>
      </w:pPr>
      <w:bookmarkStart w:id="757" w:name="_Toc2215"/>
      <w:bookmarkStart w:id="758" w:name="_Toc440385091"/>
      <w:bookmarkStart w:id="759" w:name="_Toc474491580"/>
      <w:bookmarkStart w:id="760" w:name="_Toc513464889"/>
      <w:bookmarkStart w:id="761" w:name="_Toc466563223"/>
      <w:bookmarkStart w:id="762" w:name="_Toc22510"/>
      <w:bookmarkStart w:id="763" w:name="_Toc10286"/>
      <w:r>
        <w:rPr>
          <w:rFonts w:hint="eastAsia"/>
          <w:b/>
          <w:color w:val="auto"/>
          <w:sz w:val="28"/>
        </w:rPr>
        <w:t>第八条  履约时间及地点</w:t>
      </w:r>
      <w:bookmarkEnd w:id="757"/>
      <w:bookmarkEnd w:id="758"/>
      <w:bookmarkEnd w:id="759"/>
      <w:bookmarkEnd w:id="760"/>
      <w:bookmarkEnd w:id="761"/>
      <w:bookmarkEnd w:id="762"/>
      <w:bookmarkEnd w:id="763"/>
    </w:p>
    <w:p>
      <w:pPr>
        <w:ind w:firstLine="480"/>
        <w:rPr>
          <w:rFonts w:ascii="宋体" w:hAnsi="宋体"/>
          <w:color w:val="auto"/>
          <w:highlight w:val="yellow"/>
        </w:rPr>
      </w:pPr>
      <w:r>
        <w:rPr>
          <w:rFonts w:hint="eastAsia" w:ascii="宋体" w:hAnsi="宋体"/>
          <w:color w:val="auto"/>
          <w:highlight w:val="yellow"/>
        </w:rPr>
        <w:t>履约时间：</w:t>
      </w:r>
      <w:r>
        <w:rPr>
          <w:rFonts w:hint="eastAsia" w:ascii="宋体" w:hAnsi="宋体"/>
          <w:color w:val="auto"/>
          <w:highlight w:val="yellow"/>
          <w:u w:val="single"/>
        </w:rPr>
        <w:t xml:space="preserve">                                </w:t>
      </w:r>
      <w:r>
        <w:rPr>
          <w:rFonts w:hint="eastAsia" w:ascii="宋体" w:hAnsi="宋体"/>
          <w:color w:val="auto"/>
          <w:highlight w:val="yellow"/>
        </w:rPr>
        <w:t>。</w:t>
      </w:r>
    </w:p>
    <w:p>
      <w:pPr>
        <w:ind w:firstLine="480"/>
        <w:rPr>
          <w:color w:val="auto"/>
          <w:u w:val="single"/>
        </w:rPr>
      </w:pPr>
      <w:r>
        <w:rPr>
          <w:rFonts w:hint="eastAsia" w:ascii="宋体" w:hAnsi="宋体"/>
          <w:color w:val="auto"/>
        </w:rPr>
        <w:t>履约地点：</w:t>
      </w:r>
      <w:r>
        <w:rPr>
          <w:rFonts w:hint="eastAsia" w:ascii="宋体" w:hAnsi="宋体"/>
          <w:b/>
          <w:bCs/>
          <w:color w:val="auto"/>
          <w:u w:val="single"/>
          <w:lang w:val="zh-CN"/>
        </w:rPr>
        <w:t>成都开放大学指定地点</w:t>
      </w:r>
      <w:r>
        <w:rPr>
          <w:rFonts w:hint="eastAsia" w:ascii="宋体" w:hAnsi="宋体"/>
          <w:b/>
          <w:bCs/>
          <w:color w:val="auto"/>
        </w:rPr>
        <w:t>。</w:t>
      </w:r>
    </w:p>
    <w:p>
      <w:pPr>
        <w:ind w:firstLine="0" w:firstLineChars="0"/>
        <w:rPr>
          <w:b/>
          <w:color w:val="auto"/>
          <w:sz w:val="28"/>
        </w:rPr>
      </w:pPr>
      <w:bookmarkStart w:id="764" w:name="_Toc513464890"/>
      <w:bookmarkStart w:id="765" w:name="_Toc22087"/>
      <w:bookmarkStart w:id="766" w:name="_Toc440385092"/>
      <w:bookmarkStart w:id="767" w:name="_Toc466563224"/>
      <w:bookmarkStart w:id="768" w:name="_Toc361325813"/>
      <w:bookmarkStart w:id="769" w:name="_Toc23785"/>
      <w:bookmarkStart w:id="770" w:name="_Toc474491581"/>
      <w:bookmarkStart w:id="771" w:name="_Toc18061"/>
      <w:bookmarkStart w:id="772" w:name="_Toc362988519"/>
      <w:r>
        <w:rPr>
          <w:rFonts w:hint="eastAsia"/>
          <w:b/>
          <w:color w:val="auto"/>
          <w:sz w:val="28"/>
        </w:rPr>
        <w:t>第九条  履约保证金</w:t>
      </w:r>
      <w:bookmarkEnd w:id="764"/>
      <w:bookmarkEnd w:id="765"/>
      <w:bookmarkEnd w:id="766"/>
      <w:bookmarkEnd w:id="767"/>
      <w:bookmarkEnd w:id="768"/>
      <w:bookmarkEnd w:id="769"/>
      <w:bookmarkEnd w:id="770"/>
      <w:bookmarkEnd w:id="771"/>
      <w:bookmarkEnd w:id="772"/>
    </w:p>
    <w:p>
      <w:pPr>
        <w:ind w:firstLine="480"/>
        <w:rPr>
          <w:color w:val="auto"/>
          <w:highlight w:val="yellow"/>
        </w:rPr>
      </w:pPr>
      <w:r>
        <w:rPr>
          <w:rFonts w:hint="eastAsia"/>
          <w:color w:val="auto"/>
          <w:highlight w:val="yellow"/>
        </w:rPr>
        <w:t>1、乙方交纳合同总价款的5%作为本合同的履约保证金。</w:t>
      </w:r>
    </w:p>
    <w:p>
      <w:pPr>
        <w:adjustRightInd w:val="0"/>
        <w:ind w:firstLine="480"/>
        <w:jc w:val="left"/>
        <w:textAlignment w:val="baseline"/>
        <w:rPr>
          <w:rFonts w:ascii="宋体" w:hAnsi="宋体"/>
          <w:bCs/>
          <w:color w:val="auto"/>
        </w:rPr>
      </w:pPr>
      <w:r>
        <w:rPr>
          <w:rFonts w:hint="eastAsia" w:ascii="宋体" w:hAnsi="宋体"/>
          <w:bCs/>
          <w:color w:val="auto"/>
          <w:highlight w:val="yellow"/>
        </w:rPr>
        <w:t>2、履约保证金作为违约金的一部分及用于补偿甲方因乙方不能履行合同义务而蒙受的损失。</w:t>
      </w:r>
    </w:p>
    <w:p>
      <w:pPr>
        <w:ind w:firstLine="0" w:firstLineChars="0"/>
        <w:rPr>
          <w:b/>
          <w:color w:val="auto"/>
          <w:sz w:val="28"/>
        </w:rPr>
      </w:pPr>
      <w:bookmarkStart w:id="773" w:name="_Toc513464891"/>
      <w:bookmarkStart w:id="774" w:name="_Toc474491582"/>
      <w:bookmarkStart w:id="775" w:name="_Toc15120"/>
      <w:bookmarkStart w:id="776" w:name="_Toc440385093"/>
      <w:bookmarkStart w:id="777" w:name="_Toc361325814"/>
      <w:bookmarkStart w:id="778" w:name="_Toc362988520"/>
      <w:bookmarkStart w:id="779" w:name="_Toc27710"/>
      <w:bookmarkStart w:id="780" w:name="_Toc4340"/>
      <w:bookmarkStart w:id="781" w:name="_Toc466563225"/>
      <w:r>
        <w:rPr>
          <w:rFonts w:hint="eastAsia"/>
          <w:b/>
          <w:color w:val="auto"/>
          <w:sz w:val="28"/>
        </w:rPr>
        <w:t xml:space="preserve">第十条  </w:t>
      </w:r>
      <w:r>
        <w:rPr>
          <w:b/>
          <w:color w:val="auto"/>
          <w:sz w:val="28"/>
        </w:rPr>
        <w:t>甲方的权利和义务</w:t>
      </w:r>
      <w:bookmarkEnd w:id="773"/>
      <w:bookmarkEnd w:id="774"/>
      <w:bookmarkEnd w:id="775"/>
      <w:bookmarkEnd w:id="776"/>
      <w:bookmarkEnd w:id="777"/>
      <w:bookmarkEnd w:id="778"/>
      <w:bookmarkEnd w:id="779"/>
      <w:bookmarkEnd w:id="780"/>
      <w:bookmarkEnd w:id="781"/>
    </w:p>
    <w:p>
      <w:pPr>
        <w:ind w:firstLine="480"/>
        <w:rPr>
          <w:color w:val="auto"/>
        </w:rPr>
      </w:pPr>
      <w:r>
        <w:rPr>
          <w:rFonts w:hint="eastAsia"/>
          <w:color w:val="auto"/>
        </w:rPr>
        <w:t>1、</w:t>
      </w:r>
      <w:r>
        <w:rPr>
          <w:color w:val="auto"/>
        </w:rPr>
        <w:t>甲方有权对合同规定范围内</w:t>
      </w:r>
      <w:r>
        <w:rPr>
          <w:rFonts w:hint="eastAsia"/>
          <w:color w:val="auto"/>
        </w:rPr>
        <w:t>乙方的服务行为</w:t>
      </w:r>
      <w:r>
        <w:rPr>
          <w:color w:val="auto"/>
        </w:rPr>
        <w:t>进行监督和检查，拥有监管权。有权定期核对乙方提供服务所配备的人员数量。对甲方认为不合理的部分有权</w:t>
      </w:r>
      <w:r>
        <w:rPr>
          <w:rFonts w:hint="eastAsia"/>
          <w:color w:val="auto"/>
        </w:rPr>
        <w:t>下达整改通知书，并</w:t>
      </w:r>
      <w:r>
        <w:rPr>
          <w:color w:val="auto"/>
        </w:rPr>
        <w:t>要求乙方</w:t>
      </w:r>
      <w:r>
        <w:rPr>
          <w:rFonts w:hint="eastAsia"/>
          <w:color w:val="auto"/>
        </w:rPr>
        <w:t>限期整改</w:t>
      </w:r>
      <w:r>
        <w:rPr>
          <w:color w:val="auto"/>
        </w:rPr>
        <w:t>。</w:t>
      </w:r>
    </w:p>
    <w:p>
      <w:pPr>
        <w:ind w:firstLine="480"/>
        <w:rPr>
          <w:color w:val="auto"/>
        </w:rPr>
      </w:pPr>
      <w:r>
        <w:rPr>
          <w:rFonts w:hint="eastAsia"/>
          <w:color w:val="auto"/>
        </w:rPr>
        <w:t>2、甲方有权依据双方签订的考评办法对乙方提供的服务进行定期考评。当考评结果未达到标准时，有权依据考评办法约定的数额扣除履约保证金。</w:t>
      </w:r>
    </w:p>
    <w:p>
      <w:pPr>
        <w:ind w:firstLine="480"/>
        <w:rPr>
          <w:color w:val="auto"/>
        </w:rPr>
      </w:pPr>
      <w:r>
        <w:rPr>
          <w:rFonts w:hint="eastAsia"/>
          <w:color w:val="auto"/>
        </w:rPr>
        <w:t>3、</w:t>
      </w:r>
      <w:r>
        <w:rPr>
          <w:color w:val="auto"/>
        </w:rPr>
        <w:t>负责检查监督乙方管理工作的实施及制度的执行情况。</w:t>
      </w:r>
    </w:p>
    <w:p>
      <w:pPr>
        <w:ind w:firstLine="480"/>
        <w:rPr>
          <w:color w:val="auto"/>
        </w:rPr>
      </w:pPr>
      <w:r>
        <w:rPr>
          <w:rFonts w:hint="eastAsia"/>
          <w:color w:val="auto"/>
        </w:rPr>
        <w:t>4、</w:t>
      </w:r>
      <w:r>
        <w:rPr>
          <w:color w:val="auto"/>
        </w:rPr>
        <w:t>根据本合同规定，按时向乙方支付应付</w:t>
      </w:r>
      <w:r>
        <w:rPr>
          <w:rFonts w:hint="eastAsia"/>
          <w:color w:val="auto"/>
        </w:rPr>
        <w:t>服务费用</w:t>
      </w:r>
      <w:r>
        <w:rPr>
          <w:color w:val="auto"/>
        </w:rPr>
        <w:t>。</w:t>
      </w:r>
    </w:p>
    <w:p>
      <w:pPr>
        <w:ind w:firstLine="480"/>
        <w:rPr>
          <w:color w:val="auto"/>
        </w:rPr>
      </w:pPr>
      <w:r>
        <w:rPr>
          <w:rFonts w:hint="eastAsia"/>
          <w:color w:val="auto"/>
        </w:rPr>
        <w:t>5、</w:t>
      </w:r>
      <w:r>
        <w:rPr>
          <w:color w:val="auto"/>
        </w:rPr>
        <w:t>国家法律、法规所规定由甲方承担的其它责任。</w:t>
      </w:r>
    </w:p>
    <w:p>
      <w:pPr>
        <w:ind w:firstLine="0" w:firstLineChars="0"/>
        <w:rPr>
          <w:b/>
          <w:color w:val="auto"/>
          <w:sz w:val="28"/>
        </w:rPr>
      </w:pPr>
      <w:bookmarkStart w:id="782" w:name="_Toc362988521"/>
      <w:bookmarkStart w:id="783" w:name="_Toc24879"/>
      <w:bookmarkStart w:id="784" w:name="_Toc474491583"/>
      <w:bookmarkStart w:id="785" w:name="_Toc513464892"/>
      <w:bookmarkStart w:id="786" w:name="_Toc4007"/>
      <w:bookmarkStart w:id="787" w:name="_Toc440385094"/>
      <w:bookmarkStart w:id="788" w:name="_Toc361325815"/>
      <w:bookmarkStart w:id="789" w:name="_Toc466563226"/>
      <w:bookmarkStart w:id="790" w:name="_Toc17487"/>
      <w:r>
        <w:rPr>
          <w:rFonts w:hint="eastAsia"/>
          <w:b/>
          <w:color w:val="auto"/>
          <w:sz w:val="28"/>
        </w:rPr>
        <w:t xml:space="preserve">第十一条  </w:t>
      </w:r>
      <w:r>
        <w:rPr>
          <w:b/>
          <w:color w:val="auto"/>
          <w:sz w:val="28"/>
        </w:rPr>
        <w:t>乙方的权利和义务</w:t>
      </w:r>
      <w:bookmarkEnd w:id="782"/>
      <w:bookmarkEnd w:id="783"/>
      <w:bookmarkEnd w:id="784"/>
      <w:bookmarkEnd w:id="785"/>
      <w:bookmarkEnd w:id="786"/>
      <w:bookmarkEnd w:id="787"/>
      <w:bookmarkEnd w:id="788"/>
      <w:bookmarkEnd w:id="789"/>
      <w:bookmarkEnd w:id="790"/>
    </w:p>
    <w:p>
      <w:pPr>
        <w:ind w:firstLine="480"/>
        <w:rPr>
          <w:color w:val="auto"/>
        </w:rPr>
      </w:pPr>
      <w:r>
        <w:rPr>
          <w:rFonts w:hint="eastAsia"/>
          <w:color w:val="auto"/>
        </w:rPr>
        <w:t>1、</w:t>
      </w:r>
      <w:r>
        <w:rPr>
          <w:color w:val="auto"/>
        </w:rPr>
        <w:t>对本合同规定的委托</w:t>
      </w:r>
      <w:r>
        <w:rPr>
          <w:rFonts w:hint="eastAsia"/>
          <w:color w:val="auto"/>
        </w:rPr>
        <w:t>服务</w:t>
      </w:r>
      <w:r>
        <w:rPr>
          <w:color w:val="auto"/>
        </w:rPr>
        <w:t>范围内的</w:t>
      </w:r>
      <w:r>
        <w:rPr>
          <w:rFonts w:hint="eastAsia"/>
          <w:color w:val="auto"/>
        </w:rPr>
        <w:t>项目</w:t>
      </w:r>
      <w:r>
        <w:rPr>
          <w:color w:val="auto"/>
        </w:rPr>
        <w:t>享有管理权及服务义务。</w:t>
      </w:r>
    </w:p>
    <w:p>
      <w:pPr>
        <w:ind w:firstLine="480"/>
        <w:rPr>
          <w:color w:val="auto"/>
        </w:rPr>
      </w:pPr>
      <w:r>
        <w:rPr>
          <w:rFonts w:hint="eastAsia"/>
          <w:color w:val="auto"/>
        </w:rPr>
        <w:t>2、</w:t>
      </w:r>
      <w:r>
        <w:rPr>
          <w:color w:val="auto"/>
        </w:rPr>
        <w:t>根据本合同的规定向甲方收取相关</w:t>
      </w:r>
      <w:r>
        <w:rPr>
          <w:rFonts w:hint="eastAsia"/>
          <w:color w:val="auto"/>
        </w:rPr>
        <w:t>服务</w:t>
      </w:r>
      <w:r>
        <w:rPr>
          <w:color w:val="auto"/>
        </w:rPr>
        <w:t>费用，并有权</w:t>
      </w:r>
      <w:r>
        <w:rPr>
          <w:rFonts w:hint="eastAsia"/>
          <w:color w:val="auto"/>
        </w:rPr>
        <w:t>在本项目管理范围内</w:t>
      </w:r>
      <w:r>
        <w:rPr>
          <w:color w:val="auto"/>
        </w:rPr>
        <w:t>管理及合理使用。</w:t>
      </w:r>
    </w:p>
    <w:p>
      <w:pPr>
        <w:ind w:firstLine="480"/>
        <w:rPr>
          <w:color w:val="auto"/>
        </w:rPr>
      </w:pPr>
      <w:r>
        <w:rPr>
          <w:rFonts w:hint="eastAsia"/>
          <w:color w:val="auto"/>
        </w:rPr>
        <w:t>3、及时向甲方通告本项目服务范围内有关服务的重大事项，及时配合处理投诉。</w:t>
      </w:r>
    </w:p>
    <w:p>
      <w:pPr>
        <w:ind w:firstLine="480"/>
        <w:rPr>
          <w:color w:val="auto"/>
        </w:rPr>
      </w:pPr>
      <w:r>
        <w:rPr>
          <w:rFonts w:hint="eastAsia"/>
          <w:color w:val="auto"/>
        </w:rPr>
        <w:t>4、</w:t>
      </w:r>
      <w:r>
        <w:rPr>
          <w:color w:val="auto"/>
        </w:rPr>
        <w:t>接受</w:t>
      </w:r>
      <w:r>
        <w:rPr>
          <w:rFonts w:hint="eastAsia"/>
          <w:color w:val="auto"/>
        </w:rPr>
        <w:t>项目行</w:t>
      </w:r>
      <w:r>
        <w:rPr>
          <w:color w:val="auto"/>
        </w:rPr>
        <w:t>业管理部门及政府有关部门的指导，接受甲方的监督。</w:t>
      </w:r>
    </w:p>
    <w:p>
      <w:pPr>
        <w:ind w:firstLine="480"/>
        <w:rPr>
          <w:color w:val="auto"/>
        </w:rPr>
      </w:pPr>
      <w:r>
        <w:rPr>
          <w:rFonts w:hint="eastAsia"/>
          <w:color w:val="auto"/>
        </w:rPr>
        <w:t>5、</w:t>
      </w:r>
      <w:r>
        <w:rPr>
          <w:color w:val="auto"/>
        </w:rPr>
        <w:t>国家法律、法规所规定由乙方承担的其它责任。</w:t>
      </w:r>
    </w:p>
    <w:p>
      <w:pPr>
        <w:ind w:firstLine="0" w:firstLineChars="0"/>
        <w:rPr>
          <w:b/>
          <w:color w:val="auto"/>
          <w:sz w:val="28"/>
        </w:rPr>
      </w:pPr>
      <w:bookmarkStart w:id="791" w:name="_Toc24643"/>
      <w:bookmarkStart w:id="792" w:name="_Toc10552"/>
      <w:bookmarkStart w:id="793" w:name="_Toc474491584"/>
      <w:bookmarkStart w:id="794" w:name="_Toc440385095"/>
      <w:bookmarkStart w:id="795" w:name="_Toc1341"/>
      <w:bookmarkStart w:id="796" w:name="_Toc466563227"/>
      <w:bookmarkStart w:id="797" w:name="_Toc513464893"/>
      <w:bookmarkStart w:id="798" w:name="_Toc362988522"/>
      <w:bookmarkStart w:id="799" w:name="_Toc361325816"/>
      <w:r>
        <w:rPr>
          <w:rFonts w:hint="eastAsia"/>
          <w:b/>
          <w:color w:val="auto"/>
          <w:sz w:val="28"/>
        </w:rPr>
        <w:t xml:space="preserve">第十二条  </w:t>
      </w:r>
      <w:r>
        <w:rPr>
          <w:b/>
          <w:color w:val="auto"/>
          <w:sz w:val="28"/>
        </w:rPr>
        <w:t>违约责任</w:t>
      </w:r>
      <w:bookmarkEnd w:id="791"/>
      <w:bookmarkEnd w:id="792"/>
      <w:bookmarkEnd w:id="793"/>
      <w:bookmarkEnd w:id="794"/>
      <w:bookmarkEnd w:id="795"/>
      <w:bookmarkEnd w:id="796"/>
      <w:bookmarkEnd w:id="797"/>
      <w:bookmarkEnd w:id="798"/>
      <w:bookmarkEnd w:id="799"/>
    </w:p>
    <w:p>
      <w:pPr>
        <w:ind w:firstLine="480"/>
        <w:rPr>
          <w:color w:val="auto"/>
        </w:rPr>
      </w:pPr>
      <w:r>
        <w:rPr>
          <w:rFonts w:hint="eastAsia"/>
          <w:color w:val="auto"/>
        </w:rPr>
        <w:t>1、</w:t>
      </w:r>
      <w:r>
        <w:rPr>
          <w:color w:val="auto"/>
        </w:rPr>
        <w:t>甲乙双方必须遵守本合同并执行合同中的各项规定，保证</w:t>
      </w:r>
      <w:r>
        <w:rPr>
          <w:rFonts w:hint="eastAsia"/>
          <w:color w:val="auto"/>
        </w:rPr>
        <w:t>本</w:t>
      </w:r>
      <w:r>
        <w:rPr>
          <w:color w:val="auto"/>
        </w:rPr>
        <w:t>合同的正常</w:t>
      </w:r>
      <w:r>
        <w:rPr>
          <w:rFonts w:hint="eastAsia"/>
          <w:color w:val="auto"/>
        </w:rPr>
        <w:t>履行</w:t>
      </w:r>
      <w:r>
        <w:rPr>
          <w:color w:val="auto"/>
        </w:rPr>
        <w:t>。</w:t>
      </w:r>
    </w:p>
    <w:p>
      <w:pPr>
        <w:ind w:firstLine="480"/>
        <w:rPr>
          <w:color w:val="auto"/>
        </w:rPr>
      </w:pPr>
      <w:r>
        <w:rPr>
          <w:rFonts w:hint="eastAsia"/>
          <w:color w:val="auto"/>
        </w:rPr>
        <w:t>2、</w:t>
      </w:r>
      <w:r>
        <w:rPr>
          <w:color w:val="auto"/>
        </w:rPr>
        <w:t>如因乙方</w:t>
      </w:r>
      <w:r>
        <w:rPr>
          <w:rFonts w:hint="eastAsia"/>
          <w:color w:val="auto"/>
        </w:rPr>
        <w:t>工作人员在履行职务过程中的</w:t>
      </w:r>
      <w:r>
        <w:rPr>
          <w:color w:val="auto"/>
        </w:rPr>
        <w:t>的疏忽、失职、过错等</w:t>
      </w:r>
      <w:r>
        <w:rPr>
          <w:rFonts w:hint="eastAsia"/>
          <w:color w:val="auto"/>
        </w:rPr>
        <w:t>故意或者过失</w:t>
      </w:r>
      <w:r>
        <w:rPr>
          <w:color w:val="auto"/>
        </w:rPr>
        <w:t>原因给甲方造成损失或侵害，</w:t>
      </w:r>
      <w:r>
        <w:rPr>
          <w:rFonts w:hint="eastAsia"/>
          <w:color w:val="auto"/>
        </w:rPr>
        <w:t>包括但不限于甲方本身的财产损失、由此而导致的甲方对任何第三方的法律责任等，乙方对此均应承担全部的赔偿责任</w:t>
      </w:r>
      <w:r>
        <w:rPr>
          <w:color w:val="auto"/>
        </w:rPr>
        <w:t>。</w:t>
      </w:r>
    </w:p>
    <w:p>
      <w:pPr>
        <w:ind w:firstLine="0" w:firstLineChars="0"/>
        <w:rPr>
          <w:b/>
          <w:color w:val="auto"/>
          <w:sz w:val="28"/>
        </w:rPr>
      </w:pPr>
      <w:bookmarkStart w:id="800" w:name="_Toc30016"/>
      <w:bookmarkStart w:id="801" w:name="_Toc361325817"/>
      <w:bookmarkStart w:id="802" w:name="_Toc362988523"/>
      <w:bookmarkStart w:id="803" w:name="_Toc5592"/>
      <w:bookmarkStart w:id="804" w:name="_Toc22916"/>
      <w:bookmarkStart w:id="805" w:name="_Toc466563228"/>
      <w:bookmarkStart w:id="806" w:name="_Toc440385096"/>
      <w:bookmarkStart w:id="807" w:name="_Toc474491585"/>
      <w:bookmarkStart w:id="808" w:name="_Toc513464894"/>
      <w:r>
        <w:rPr>
          <w:rFonts w:hint="eastAsia"/>
          <w:b/>
          <w:color w:val="auto"/>
          <w:sz w:val="28"/>
        </w:rPr>
        <w:t>第十三条  不可抗力事件处理</w:t>
      </w:r>
      <w:bookmarkEnd w:id="800"/>
      <w:bookmarkEnd w:id="801"/>
      <w:bookmarkEnd w:id="802"/>
      <w:bookmarkEnd w:id="803"/>
      <w:bookmarkEnd w:id="804"/>
      <w:bookmarkEnd w:id="805"/>
      <w:bookmarkEnd w:id="806"/>
      <w:bookmarkEnd w:id="807"/>
      <w:bookmarkEnd w:id="808"/>
    </w:p>
    <w:p>
      <w:pPr>
        <w:ind w:firstLine="480"/>
        <w:rPr>
          <w:color w:val="auto"/>
        </w:rPr>
      </w:pPr>
      <w:r>
        <w:rPr>
          <w:rFonts w:hint="eastAsia"/>
          <w:color w:val="auto"/>
        </w:rPr>
        <w:t>1、在合同有效期内，任何一方因不可抗力事件导致不能履行合同，则合同履行期可延长，其延长期与不可抗力影响期相同。</w:t>
      </w:r>
    </w:p>
    <w:p>
      <w:pPr>
        <w:ind w:firstLine="480"/>
        <w:rPr>
          <w:color w:val="auto"/>
        </w:rPr>
      </w:pPr>
      <w:r>
        <w:rPr>
          <w:rFonts w:hint="eastAsia"/>
          <w:color w:val="auto"/>
        </w:rPr>
        <w:t>2、不可抗力事件发生后，应立即通知对方，并寄送有关权威机构出具的证明。</w:t>
      </w:r>
    </w:p>
    <w:p>
      <w:pPr>
        <w:ind w:firstLine="480"/>
        <w:rPr>
          <w:color w:val="auto"/>
        </w:rPr>
      </w:pPr>
      <w:r>
        <w:rPr>
          <w:rFonts w:hint="eastAsia"/>
          <w:color w:val="auto"/>
        </w:rPr>
        <w:t>3、不可抗力事件延续</w:t>
      </w:r>
      <w:r>
        <w:rPr>
          <w:rFonts w:hint="eastAsia"/>
          <w:color w:val="auto"/>
          <w:szCs w:val="21"/>
          <w:highlight w:val="yellow"/>
        </w:rPr>
        <w:t>XX</w:t>
      </w:r>
      <w:r>
        <w:rPr>
          <w:rFonts w:hint="eastAsia"/>
          <w:color w:val="auto"/>
        </w:rPr>
        <w:t>天以上，双方应通过友好协商，确定是否继续履行合同。</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ind w:firstLine="0" w:firstLineChars="0"/>
        <w:rPr>
          <w:b/>
          <w:color w:val="auto"/>
          <w:sz w:val="28"/>
        </w:rPr>
      </w:pPr>
      <w:bookmarkStart w:id="809" w:name="_Toc286993792"/>
      <w:bookmarkStart w:id="810" w:name="_Toc247334846"/>
      <w:bookmarkStart w:id="811" w:name="_Toc225244857"/>
      <w:bookmarkStart w:id="812" w:name="_Toc237145411"/>
      <w:bookmarkStart w:id="813" w:name="_Toc225654649"/>
      <w:bookmarkStart w:id="814" w:name="_Toc6584"/>
      <w:bookmarkStart w:id="815" w:name="_Toc241833908"/>
      <w:bookmarkStart w:id="816" w:name="_Toc440385097"/>
      <w:bookmarkStart w:id="817" w:name="_Toc361325818"/>
      <w:bookmarkStart w:id="818" w:name="_Toc212019599"/>
      <w:bookmarkStart w:id="819" w:name="_Toc239568423"/>
      <w:bookmarkStart w:id="820" w:name="_Toc513464895"/>
      <w:bookmarkStart w:id="821" w:name="_Toc239233919"/>
      <w:bookmarkStart w:id="822" w:name="_Toc185395254"/>
      <w:bookmarkStart w:id="823" w:name="_Toc31187"/>
      <w:bookmarkStart w:id="824" w:name="_Toc211911353"/>
      <w:bookmarkStart w:id="825" w:name="_Toc232492933"/>
      <w:bookmarkStart w:id="826" w:name="_Toc28067"/>
      <w:bookmarkStart w:id="827" w:name="_Toc225670756"/>
      <w:bookmarkStart w:id="828" w:name="_Toc466563229"/>
      <w:bookmarkStart w:id="829" w:name="_Toc251768867"/>
      <w:bookmarkStart w:id="830" w:name="_Toc238984980"/>
      <w:bookmarkStart w:id="831" w:name="_Toc474491586"/>
      <w:bookmarkStart w:id="832" w:name="_Toc362988524"/>
      <w:bookmarkStart w:id="833" w:name="_Toc211854454"/>
      <w:r>
        <w:rPr>
          <w:rFonts w:hint="eastAsia"/>
          <w:b/>
          <w:color w:val="auto"/>
          <w:sz w:val="28"/>
        </w:rPr>
        <w:t>第十四条  解</w:t>
      </w:r>
      <w:r>
        <w:rPr>
          <w:b/>
          <w:color w:val="auto"/>
          <w:sz w:val="28"/>
        </w:rPr>
        <w:t>决合同纠纷的方式</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ind w:firstLine="480"/>
        <w:rPr>
          <w:color w:val="auto"/>
        </w:rPr>
      </w:pPr>
      <w:r>
        <w:rPr>
          <w:rFonts w:hint="eastAsia"/>
          <w:color w:val="auto"/>
        </w:rPr>
        <w:t>1、</w:t>
      </w:r>
      <w:r>
        <w:rPr>
          <w:color w:val="auto"/>
        </w:rPr>
        <w:t>在执行本合同中发生的或与本合同有关的争端，双方应通过友好协商解决，经协商在</w:t>
      </w:r>
      <w:r>
        <w:rPr>
          <w:rFonts w:hint="eastAsia"/>
          <w:color w:val="auto"/>
          <w:szCs w:val="21"/>
          <w:highlight w:val="yellow"/>
        </w:rPr>
        <w:t>XX</w:t>
      </w:r>
      <w:r>
        <w:rPr>
          <w:color w:val="auto"/>
        </w:rPr>
        <w:t>天内不能达成协议时，应提交成都仲裁委员会仲裁。</w:t>
      </w:r>
    </w:p>
    <w:p>
      <w:pPr>
        <w:ind w:firstLine="480"/>
        <w:rPr>
          <w:color w:val="auto"/>
        </w:rPr>
      </w:pPr>
      <w:r>
        <w:rPr>
          <w:rFonts w:hint="eastAsia"/>
          <w:color w:val="auto"/>
        </w:rPr>
        <w:t>2、</w:t>
      </w:r>
      <w:r>
        <w:rPr>
          <w:color w:val="auto"/>
        </w:rPr>
        <w:t>仲裁裁决应为最终决定，并对双方具有约束力。</w:t>
      </w:r>
    </w:p>
    <w:p>
      <w:pPr>
        <w:ind w:firstLine="480"/>
        <w:rPr>
          <w:color w:val="auto"/>
        </w:rPr>
      </w:pPr>
      <w:r>
        <w:rPr>
          <w:rFonts w:hint="eastAsia"/>
          <w:color w:val="auto"/>
        </w:rPr>
        <w:t>3、</w:t>
      </w:r>
      <w:r>
        <w:rPr>
          <w:color w:val="auto"/>
        </w:rPr>
        <w:t xml:space="preserve">除另有裁决外，仲裁费应由败诉方负担。 </w:t>
      </w:r>
    </w:p>
    <w:p>
      <w:pPr>
        <w:ind w:firstLine="480"/>
        <w:rPr>
          <w:color w:val="auto"/>
        </w:rPr>
      </w:pPr>
      <w:r>
        <w:rPr>
          <w:rFonts w:hint="eastAsia"/>
          <w:color w:val="auto"/>
        </w:rPr>
        <w:t>4、</w:t>
      </w:r>
      <w:r>
        <w:rPr>
          <w:color w:val="auto"/>
        </w:rPr>
        <w:t xml:space="preserve">在仲裁期间，除正在进行仲裁部分外，合同其他部分继续执行。  </w:t>
      </w:r>
      <w:bookmarkStart w:id="834" w:name="_Toc232492934"/>
      <w:bookmarkStart w:id="835" w:name="_Toc237145412"/>
      <w:bookmarkStart w:id="836" w:name="_Toc282696231"/>
      <w:bookmarkStart w:id="837" w:name="_Toc241833909"/>
      <w:bookmarkStart w:id="838" w:name="_Toc211854455"/>
      <w:bookmarkStart w:id="839" w:name="_Toc286993793"/>
      <w:bookmarkStart w:id="840" w:name="_Toc225654650"/>
      <w:bookmarkStart w:id="841" w:name="_Toc283019219"/>
      <w:bookmarkStart w:id="842" w:name="_Toc225670757"/>
      <w:bookmarkStart w:id="843" w:name="_Toc238984981"/>
      <w:bookmarkStart w:id="844" w:name="_Toc185395255"/>
      <w:bookmarkStart w:id="845" w:name="_Toc211911354"/>
      <w:bookmarkStart w:id="846" w:name="_Toc239568424"/>
      <w:bookmarkStart w:id="847" w:name="_Toc251768868"/>
      <w:bookmarkStart w:id="848" w:name="_Toc239233920"/>
      <w:bookmarkStart w:id="849" w:name="_Toc225244858"/>
      <w:bookmarkStart w:id="850" w:name="_Toc247334847"/>
      <w:bookmarkStart w:id="851" w:name="_Toc212019600"/>
    </w:p>
    <w:p>
      <w:pPr>
        <w:ind w:firstLine="0" w:firstLineChars="0"/>
        <w:rPr>
          <w:b/>
          <w:color w:val="auto"/>
          <w:sz w:val="28"/>
        </w:rPr>
      </w:pPr>
      <w:bookmarkStart w:id="852" w:name="_Toc362988525"/>
      <w:bookmarkStart w:id="853" w:name="_Toc466563230"/>
      <w:bookmarkStart w:id="854" w:name="_Toc28764"/>
      <w:bookmarkStart w:id="855" w:name="_Toc474491587"/>
      <w:bookmarkStart w:id="856" w:name="_Toc440385098"/>
      <w:bookmarkStart w:id="857" w:name="_Toc26440"/>
      <w:bookmarkStart w:id="858" w:name="_Toc361325819"/>
      <w:bookmarkStart w:id="859" w:name="_Toc26337"/>
      <w:bookmarkStart w:id="860" w:name="_Toc513464896"/>
      <w:r>
        <w:rPr>
          <w:rFonts w:hint="eastAsia"/>
          <w:b/>
          <w:color w:val="auto"/>
          <w:sz w:val="28"/>
        </w:rPr>
        <w:t xml:space="preserve">第十五条  </w:t>
      </w:r>
      <w:r>
        <w:rPr>
          <w:b/>
          <w:color w:val="auto"/>
          <w:sz w:val="28"/>
        </w:rPr>
        <w:t>合同</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hint="eastAsia"/>
          <w:b/>
          <w:color w:val="auto"/>
          <w:sz w:val="28"/>
        </w:rPr>
        <w:t>生效及其他</w:t>
      </w:r>
      <w:bookmarkEnd w:id="852"/>
      <w:bookmarkEnd w:id="853"/>
      <w:bookmarkEnd w:id="854"/>
      <w:bookmarkEnd w:id="855"/>
      <w:bookmarkEnd w:id="856"/>
      <w:bookmarkEnd w:id="857"/>
      <w:bookmarkEnd w:id="858"/>
      <w:bookmarkEnd w:id="859"/>
      <w:bookmarkEnd w:id="860"/>
    </w:p>
    <w:p>
      <w:pPr>
        <w:ind w:firstLine="480"/>
        <w:rPr>
          <w:color w:val="auto"/>
        </w:rPr>
      </w:pPr>
      <w:r>
        <w:rPr>
          <w:rFonts w:hint="eastAsia"/>
          <w:color w:val="auto"/>
        </w:rPr>
        <w:t>1、合同经双方法定代表人或授权委托代理人签字并加盖单位公章后生效。</w:t>
      </w:r>
    </w:p>
    <w:p>
      <w:pPr>
        <w:ind w:firstLine="480"/>
        <w:rPr>
          <w:color w:val="auto"/>
        </w:rPr>
      </w:pPr>
      <w:r>
        <w:rPr>
          <w:rFonts w:hint="eastAsia"/>
          <w:color w:val="auto"/>
        </w:rPr>
        <w:t>2、合同执行中涉及采购资金和采购内容修改或补充的，须经政府采购监管部门审批，并签书面补充协议报政府采购监督管理部门备案，方可作为主合同不可分割的一部分。</w:t>
      </w:r>
    </w:p>
    <w:p>
      <w:pPr>
        <w:ind w:firstLine="480"/>
        <w:rPr>
          <w:color w:val="auto"/>
        </w:rPr>
      </w:pPr>
      <w:r>
        <w:rPr>
          <w:rFonts w:hint="eastAsia"/>
          <w:color w:val="auto"/>
        </w:rPr>
        <w:t>3、本合同一式</w:t>
      </w:r>
      <w:r>
        <w:rPr>
          <w:rFonts w:hint="eastAsia"/>
          <w:color w:val="auto"/>
          <w:szCs w:val="21"/>
          <w:highlight w:val="yellow"/>
        </w:rPr>
        <w:t>XX</w:t>
      </w:r>
      <w:r>
        <w:rPr>
          <w:rFonts w:hint="eastAsia"/>
          <w:color w:val="auto"/>
        </w:rPr>
        <w:t>份，自双方签章之日起起效。甲方</w:t>
      </w:r>
      <w:r>
        <w:rPr>
          <w:rFonts w:hint="eastAsia"/>
          <w:color w:val="auto"/>
          <w:szCs w:val="21"/>
          <w:highlight w:val="yellow"/>
        </w:rPr>
        <w:t>XX</w:t>
      </w:r>
      <w:r>
        <w:rPr>
          <w:rFonts w:hint="eastAsia"/>
          <w:color w:val="auto"/>
        </w:rPr>
        <w:t>份，乙方</w:t>
      </w:r>
      <w:r>
        <w:rPr>
          <w:rFonts w:hint="eastAsia"/>
          <w:color w:val="auto"/>
          <w:szCs w:val="21"/>
          <w:highlight w:val="yellow"/>
        </w:rPr>
        <w:t>XX</w:t>
      </w:r>
      <w:r>
        <w:rPr>
          <w:rFonts w:hint="eastAsia"/>
          <w:color w:val="auto"/>
        </w:rPr>
        <w:t>份，同级财政部门备案</w:t>
      </w:r>
      <w:r>
        <w:rPr>
          <w:rFonts w:hint="eastAsia"/>
          <w:color w:val="auto"/>
          <w:szCs w:val="21"/>
          <w:highlight w:val="yellow"/>
        </w:rPr>
        <w:t>XX</w:t>
      </w:r>
      <w:r>
        <w:rPr>
          <w:rFonts w:hint="eastAsia"/>
          <w:color w:val="auto"/>
        </w:rPr>
        <w:t>份，具有同等法律效力。</w:t>
      </w:r>
    </w:p>
    <w:p>
      <w:pPr>
        <w:ind w:firstLine="0" w:firstLineChars="0"/>
        <w:rPr>
          <w:b/>
          <w:color w:val="auto"/>
          <w:sz w:val="28"/>
        </w:rPr>
      </w:pPr>
      <w:bookmarkStart w:id="861" w:name="_Toc513464897"/>
      <w:bookmarkStart w:id="862" w:name="_Toc440385099"/>
      <w:bookmarkStart w:id="863" w:name="_Toc19921"/>
      <w:bookmarkStart w:id="864" w:name="_Toc474491588"/>
      <w:bookmarkStart w:id="865" w:name="_Toc24837"/>
      <w:bookmarkStart w:id="866" w:name="_Toc5398"/>
      <w:bookmarkStart w:id="867" w:name="_Toc362988526"/>
      <w:bookmarkStart w:id="868" w:name="_Toc466563231"/>
      <w:r>
        <w:rPr>
          <w:rFonts w:hint="eastAsia"/>
          <w:b/>
          <w:color w:val="auto"/>
          <w:sz w:val="28"/>
        </w:rPr>
        <w:t>第十六条  附件</w:t>
      </w:r>
      <w:bookmarkEnd w:id="861"/>
      <w:bookmarkEnd w:id="862"/>
      <w:bookmarkEnd w:id="863"/>
      <w:bookmarkEnd w:id="864"/>
      <w:bookmarkEnd w:id="865"/>
      <w:bookmarkEnd w:id="866"/>
      <w:bookmarkEnd w:id="867"/>
      <w:bookmarkEnd w:id="868"/>
    </w:p>
    <w:p>
      <w:pPr>
        <w:ind w:firstLine="480"/>
        <w:rPr>
          <w:color w:val="auto"/>
        </w:rPr>
      </w:pPr>
      <w:r>
        <w:rPr>
          <w:rFonts w:hint="eastAsia"/>
          <w:color w:val="auto"/>
        </w:rPr>
        <w:t>1、项目比选文件</w:t>
      </w:r>
    </w:p>
    <w:p>
      <w:pPr>
        <w:ind w:firstLine="480"/>
        <w:rPr>
          <w:color w:val="auto"/>
        </w:rPr>
      </w:pPr>
      <w:r>
        <w:rPr>
          <w:rFonts w:hint="eastAsia"/>
          <w:color w:val="auto"/>
        </w:rPr>
        <w:t>2、项目修改澄清文件</w:t>
      </w:r>
    </w:p>
    <w:p>
      <w:pPr>
        <w:ind w:firstLine="480"/>
        <w:rPr>
          <w:color w:val="auto"/>
        </w:rPr>
      </w:pPr>
      <w:r>
        <w:rPr>
          <w:rFonts w:hint="eastAsia"/>
          <w:color w:val="auto"/>
        </w:rPr>
        <w:t>3、项目响应文件</w:t>
      </w:r>
    </w:p>
    <w:p>
      <w:pPr>
        <w:ind w:firstLine="480"/>
        <w:rPr>
          <w:color w:val="auto"/>
        </w:rPr>
      </w:pPr>
      <w:r>
        <w:rPr>
          <w:rFonts w:hint="eastAsia"/>
          <w:color w:val="auto"/>
        </w:rPr>
        <w:t>4、成交通知书</w:t>
      </w:r>
    </w:p>
    <w:p>
      <w:pPr>
        <w:ind w:firstLine="480"/>
        <w:rPr>
          <w:color w:val="auto"/>
        </w:rPr>
      </w:pPr>
      <w:r>
        <w:rPr>
          <w:rFonts w:hint="eastAsia"/>
          <w:color w:val="auto"/>
        </w:rPr>
        <w:t>5、其他</w:t>
      </w:r>
    </w:p>
    <w:p>
      <w:pPr>
        <w:spacing w:line="276" w:lineRule="auto"/>
        <w:ind w:firstLine="480"/>
        <w:rPr>
          <w:rFonts w:ascii="宋体" w:hAnsi="宋体"/>
          <w:color w:val="auto"/>
        </w:rPr>
      </w:pPr>
    </w:p>
    <w:p>
      <w:pPr>
        <w:spacing w:line="276" w:lineRule="auto"/>
        <w:ind w:firstLine="480"/>
        <w:rPr>
          <w:rFonts w:ascii="宋体" w:hAnsi="宋体"/>
          <w:color w:val="auto"/>
        </w:rPr>
      </w:pPr>
      <w:r>
        <w:rPr>
          <w:rFonts w:hint="eastAsia" w:ascii="宋体" w:hAnsi="宋体"/>
          <w:color w:val="auto"/>
        </w:rPr>
        <w:t>甲方：   （盖章）</w:t>
      </w:r>
      <w:r>
        <w:rPr>
          <w:rFonts w:ascii="宋体" w:hAnsi="宋体"/>
          <w:color w:val="auto"/>
        </w:rPr>
        <w:t xml:space="preserve">   </w:t>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 xml:space="preserve">    </w:t>
      </w:r>
      <w:r>
        <w:rPr>
          <w:rFonts w:hint="eastAsia" w:ascii="宋体" w:hAnsi="宋体"/>
          <w:color w:val="auto"/>
        </w:rPr>
        <w:t xml:space="preserve">   乙方：</w:t>
      </w:r>
      <w:r>
        <w:rPr>
          <w:rFonts w:ascii="宋体" w:hAnsi="宋体"/>
          <w:color w:val="auto"/>
        </w:rPr>
        <w:t xml:space="preserve">   </w:t>
      </w:r>
      <w:r>
        <w:rPr>
          <w:rFonts w:hint="eastAsia" w:ascii="宋体" w:hAnsi="宋体"/>
          <w:color w:val="auto"/>
        </w:rPr>
        <w:t>（盖章）</w:t>
      </w:r>
    </w:p>
    <w:p>
      <w:pPr>
        <w:spacing w:line="276" w:lineRule="auto"/>
        <w:ind w:firstLine="480"/>
        <w:rPr>
          <w:rFonts w:ascii="宋体" w:hAnsi="宋体"/>
          <w:color w:val="auto"/>
        </w:rPr>
      </w:pPr>
      <w:r>
        <w:rPr>
          <w:rFonts w:hint="eastAsia" w:ascii="宋体" w:hAnsi="宋体"/>
          <w:color w:val="auto"/>
        </w:rPr>
        <w:t>法定代表人（授权代表）：</w:t>
      </w:r>
      <w:r>
        <w:rPr>
          <w:rFonts w:ascii="宋体" w:hAnsi="宋体"/>
          <w:color w:val="auto"/>
        </w:rPr>
        <w:t xml:space="preserve">            </w:t>
      </w:r>
      <w:r>
        <w:rPr>
          <w:rFonts w:hint="eastAsia" w:ascii="宋体" w:hAnsi="宋体"/>
          <w:color w:val="auto"/>
        </w:rPr>
        <w:t>法定代表人（授权代表）：</w:t>
      </w:r>
    </w:p>
    <w:p>
      <w:pPr>
        <w:spacing w:line="276" w:lineRule="auto"/>
        <w:ind w:firstLine="480"/>
        <w:rPr>
          <w:rFonts w:ascii="宋体" w:hAnsi="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ascii="宋体" w:hAnsi="宋体"/>
          <w:color w:val="auto"/>
        </w:rPr>
        <w:t xml:space="preserve">                         </w:t>
      </w:r>
      <w:r>
        <w:rPr>
          <w:rFonts w:hint="eastAsia" w:ascii="宋体" w:hAnsi="宋体"/>
          <w:color w:val="auto"/>
        </w:rPr>
        <w:t>地</w:t>
      </w:r>
      <w:r>
        <w:rPr>
          <w:rFonts w:ascii="宋体" w:hAnsi="宋体"/>
          <w:color w:val="auto"/>
        </w:rPr>
        <w:t xml:space="preserve">    </w:t>
      </w:r>
      <w:r>
        <w:rPr>
          <w:rFonts w:hint="eastAsia" w:ascii="宋体" w:hAnsi="宋体"/>
          <w:color w:val="auto"/>
        </w:rPr>
        <w:t>址：</w:t>
      </w:r>
    </w:p>
    <w:p>
      <w:pPr>
        <w:spacing w:line="276" w:lineRule="auto"/>
        <w:ind w:firstLine="480"/>
        <w:rPr>
          <w:rFonts w:ascii="宋体" w:hAnsi="宋体"/>
          <w:color w:val="auto"/>
        </w:rPr>
      </w:pPr>
      <w:r>
        <w:rPr>
          <w:rFonts w:hint="eastAsia" w:ascii="宋体" w:hAnsi="宋体"/>
          <w:color w:val="auto"/>
        </w:rPr>
        <w:t>开户银行：</w:t>
      </w:r>
      <w:r>
        <w:rPr>
          <w:rFonts w:ascii="宋体" w:hAnsi="宋体"/>
          <w:color w:val="auto"/>
        </w:rPr>
        <w:t xml:space="preserve">                         </w:t>
      </w:r>
      <w:r>
        <w:rPr>
          <w:rFonts w:hint="eastAsia" w:ascii="宋体" w:hAnsi="宋体"/>
          <w:color w:val="auto"/>
        </w:rPr>
        <w:t>开户银行：</w:t>
      </w:r>
    </w:p>
    <w:p>
      <w:pPr>
        <w:spacing w:line="276" w:lineRule="auto"/>
        <w:ind w:firstLine="480"/>
        <w:rPr>
          <w:rFonts w:ascii="宋体" w:hAnsi="宋体"/>
          <w:color w:val="auto"/>
        </w:rPr>
      </w:pPr>
      <w:r>
        <w:rPr>
          <w:rFonts w:hint="eastAsia" w:ascii="宋体" w:hAnsi="宋体"/>
          <w:color w:val="auto"/>
        </w:rPr>
        <w:t>账    号：</w:t>
      </w:r>
      <w:r>
        <w:rPr>
          <w:rFonts w:ascii="宋体" w:hAnsi="宋体"/>
          <w:color w:val="auto"/>
        </w:rPr>
        <w:t xml:space="preserve">                        </w:t>
      </w:r>
      <w:r>
        <w:rPr>
          <w:rFonts w:hint="eastAsia" w:ascii="宋体" w:hAnsi="宋体"/>
          <w:color w:val="auto"/>
        </w:rPr>
        <w:t xml:space="preserve"> 账    号：</w:t>
      </w:r>
    </w:p>
    <w:p>
      <w:pPr>
        <w:spacing w:line="276" w:lineRule="auto"/>
        <w:ind w:firstLine="480"/>
        <w:rPr>
          <w:rFonts w:ascii="宋体" w:hAnsi="宋体"/>
          <w:color w:val="auto"/>
        </w:rPr>
      </w:pPr>
      <w:r>
        <w:rPr>
          <w:rFonts w:hint="eastAsia" w:ascii="宋体" w:hAnsi="宋体"/>
          <w:color w:val="auto"/>
        </w:rPr>
        <w:t>电</w:t>
      </w:r>
      <w:r>
        <w:rPr>
          <w:rFonts w:ascii="宋体" w:hAnsi="宋体"/>
          <w:color w:val="auto"/>
        </w:rPr>
        <w:t xml:space="preserve">    </w:t>
      </w:r>
      <w:r>
        <w:rPr>
          <w:rFonts w:hint="eastAsia" w:ascii="宋体" w:hAnsi="宋体"/>
          <w:color w:val="auto"/>
        </w:rPr>
        <w:t>话：</w:t>
      </w:r>
      <w:r>
        <w:rPr>
          <w:rFonts w:ascii="宋体" w:hAnsi="宋体"/>
          <w:color w:val="auto"/>
        </w:rPr>
        <w:t xml:space="preserve">                         </w:t>
      </w:r>
      <w:r>
        <w:rPr>
          <w:rFonts w:hint="eastAsia" w:ascii="宋体" w:hAnsi="宋体"/>
          <w:color w:val="auto"/>
        </w:rPr>
        <w:t>电</w:t>
      </w:r>
      <w:r>
        <w:rPr>
          <w:rFonts w:ascii="宋体" w:hAnsi="宋体"/>
          <w:color w:val="auto"/>
        </w:rPr>
        <w:t xml:space="preserve">    </w:t>
      </w:r>
      <w:r>
        <w:rPr>
          <w:rFonts w:hint="eastAsia" w:ascii="宋体" w:hAnsi="宋体"/>
          <w:color w:val="auto"/>
        </w:rPr>
        <w:t>话：</w:t>
      </w:r>
    </w:p>
    <w:p>
      <w:pPr>
        <w:spacing w:line="276" w:lineRule="auto"/>
        <w:ind w:firstLine="480"/>
        <w:rPr>
          <w:rFonts w:ascii="宋体" w:hAnsi="宋体"/>
          <w:color w:val="auto"/>
        </w:rPr>
      </w:pPr>
      <w:r>
        <w:rPr>
          <w:rFonts w:hint="eastAsia" w:ascii="宋体" w:hAnsi="宋体"/>
          <w:color w:val="auto"/>
        </w:rPr>
        <w:t>传</w:t>
      </w:r>
      <w:r>
        <w:rPr>
          <w:rFonts w:ascii="宋体" w:hAnsi="宋体"/>
          <w:color w:val="auto"/>
        </w:rPr>
        <w:t xml:space="preserve">    </w:t>
      </w:r>
      <w:r>
        <w:rPr>
          <w:rFonts w:hint="eastAsia" w:ascii="宋体" w:hAnsi="宋体"/>
          <w:color w:val="auto"/>
        </w:rPr>
        <w:t>真：</w:t>
      </w:r>
      <w:r>
        <w:rPr>
          <w:rFonts w:ascii="宋体" w:hAnsi="宋体"/>
          <w:color w:val="auto"/>
        </w:rPr>
        <w:t xml:space="preserve">                         </w:t>
      </w:r>
      <w:r>
        <w:rPr>
          <w:rFonts w:hint="eastAsia" w:ascii="宋体" w:hAnsi="宋体"/>
          <w:color w:val="auto"/>
        </w:rPr>
        <w:t>传</w:t>
      </w:r>
      <w:r>
        <w:rPr>
          <w:rFonts w:ascii="宋体" w:hAnsi="宋体"/>
          <w:color w:val="auto"/>
        </w:rPr>
        <w:t xml:space="preserve">    </w:t>
      </w:r>
      <w:r>
        <w:rPr>
          <w:rFonts w:hint="eastAsia" w:ascii="宋体" w:hAnsi="宋体"/>
          <w:color w:val="auto"/>
        </w:rPr>
        <w:t>真：</w:t>
      </w:r>
    </w:p>
    <w:p>
      <w:pPr>
        <w:spacing w:line="400" w:lineRule="exact"/>
        <w:ind w:firstLine="480"/>
        <w:rPr>
          <w:rFonts w:ascii="宋体" w:hAnsi="宋体"/>
          <w:color w:val="auto"/>
        </w:rPr>
      </w:pPr>
      <w:r>
        <w:rPr>
          <w:rFonts w:hint="eastAsia" w:ascii="宋体" w:hAnsi="宋体"/>
          <w:color w:val="auto"/>
          <w:highlight w:val="yellow"/>
        </w:rPr>
        <w:t>签约日期：</w:t>
      </w:r>
      <w:r>
        <w:rPr>
          <w:rFonts w:hint="eastAsia"/>
          <w:color w:val="auto"/>
          <w:szCs w:val="21"/>
          <w:highlight w:val="yellow"/>
        </w:rPr>
        <w:t>XX</w:t>
      </w:r>
      <w:r>
        <w:rPr>
          <w:rFonts w:hint="eastAsia" w:ascii="宋体" w:hAnsi="宋体"/>
          <w:color w:val="auto"/>
          <w:highlight w:val="yellow"/>
        </w:rPr>
        <w:t>年</w:t>
      </w:r>
      <w:r>
        <w:rPr>
          <w:rFonts w:hint="eastAsia"/>
          <w:color w:val="auto"/>
          <w:szCs w:val="21"/>
          <w:highlight w:val="yellow"/>
        </w:rPr>
        <w:t>XX</w:t>
      </w:r>
      <w:r>
        <w:rPr>
          <w:rFonts w:hint="eastAsia" w:ascii="宋体" w:hAnsi="宋体"/>
          <w:color w:val="auto"/>
          <w:highlight w:val="yellow"/>
        </w:rPr>
        <w:t>月</w:t>
      </w:r>
      <w:r>
        <w:rPr>
          <w:rFonts w:hint="eastAsia"/>
          <w:color w:val="auto"/>
          <w:szCs w:val="21"/>
          <w:highlight w:val="yellow"/>
        </w:rPr>
        <w:t>XX</w:t>
      </w:r>
      <w:r>
        <w:rPr>
          <w:rFonts w:hint="eastAsia" w:ascii="宋体" w:hAnsi="宋体"/>
          <w:color w:val="auto"/>
          <w:highlight w:val="yellow"/>
        </w:rPr>
        <w:t>日</w:t>
      </w:r>
      <w:r>
        <w:rPr>
          <w:rFonts w:ascii="宋体" w:hAnsi="宋体"/>
          <w:color w:val="auto"/>
          <w:highlight w:val="yellow"/>
        </w:rPr>
        <w:t xml:space="preserve"> </w:t>
      </w:r>
      <w:r>
        <w:rPr>
          <w:rFonts w:ascii="宋体" w:hAnsi="宋体"/>
          <w:color w:val="auto"/>
          <w:highlight w:val="yellow"/>
        </w:rPr>
        <w:tab/>
      </w:r>
      <w:r>
        <w:rPr>
          <w:rFonts w:ascii="宋体" w:hAnsi="宋体"/>
          <w:color w:val="auto"/>
          <w:highlight w:val="yellow"/>
        </w:rPr>
        <w:tab/>
      </w:r>
      <w:r>
        <w:rPr>
          <w:rFonts w:ascii="宋体" w:hAnsi="宋体"/>
          <w:color w:val="auto"/>
          <w:highlight w:val="yellow"/>
        </w:rPr>
        <w:tab/>
      </w:r>
      <w:r>
        <w:rPr>
          <w:rFonts w:hint="eastAsia" w:ascii="宋体" w:hAnsi="宋体"/>
          <w:color w:val="auto"/>
          <w:highlight w:val="yellow"/>
        </w:rPr>
        <w:t>签约日期：</w:t>
      </w:r>
      <w:r>
        <w:rPr>
          <w:rFonts w:hint="eastAsia"/>
          <w:color w:val="auto"/>
          <w:szCs w:val="21"/>
          <w:highlight w:val="yellow"/>
        </w:rPr>
        <w:t>XX</w:t>
      </w:r>
      <w:r>
        <w:rPr>
          <w:rFonts w:hint="eastAsia" w:ascii="宋体" w:hAnsi="宋体"/>
          <w:color w:val="auto"/>
          <w:highlight w:val="yellow"/>
        </w:rPr>
        <w:t>年</w:t>
      </w:r>
      <w:r>
        <w:rPr>
          <w:rFonts w:hint="eastAsia"/>
          <w:color w:val="auto"/>
          <w:szCs w:val="21"/>
          <w:highlight w:val="yellow"/>
        </w:rPr>
        <w:t>XX</w:t>
      </w:r>
      <w:r>
        <w:rPr>
          <w:rFonts w:hint="eastAsia" w:ascii="宋体" w:hAnsi="宋体"/>
          <w:color w:val="auto"/>
          <w:highlight w:val="yellow"/>
        </w:rPr>
        <w:t>月</w:t>
      </w:r>
      <w:r>
        <w:rPr>
          <w:rFonts w:hint="eastAsia"/>
          <w:color w:val="auto"/>
          <w:szCs w:val="21"/>
          <w:highlight w:val="yellow"/>
        </w:rPr>
        <w:t>XX日</w:t>
      </w:r>
    </w:p>
    <w:p>
      <w:pPr>
        <w:spacing w:line="276" w:lineRule="auto"/>
        <w:ind w:firstLine="480"/>
        <w:rPr>
          <w:rFonts w:hint="eastAsia" w:ascii="宋体" w:hAnsi="宋体"/>
          <w:color w:val="auto"/>
        </w:rPr>
      </w:pP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槨..">
    <w:altName w:val="宋体"/>
    <w:panose1 w:val="00000000000000000000"/>
    <w:charset w:val="86"/>
    <w:family w:val="roman"/>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93"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ind w:firstLine="360"/>
      <w:rPr>
        <w:rStyle w:val="93"/>
      </w:rPr>
    </w:pPr>
    <w:r>
      <w:rPr>
        <w:rStyle w:val="93"/>
      </w:rPr>
      <w:fldChar w:fldCharType="begin"/>
    </w:r>
    <w:r>
      <w:rPr>
        <w:rStyle w:val="93"/>
      </w:rPr>
      <w:instrText xml:space="preserve">PAGE  </w:instrText>
    </w:r>
    <w:r>
      <w:rPr>
        <w:rStyle w:val="93"/>
      </w:rPr>
      <w:fldChar w:fldCharType="end"/>
    </w:r>
  </w:p>
  <w:p>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21192"/>
    </w:sdtPr>
    <w:sdtContent>
      <w:p>
        <w:pPr>
          <w:pStyle w:val="57"/>
          <w:ind w:left="3840" w:firstLine="360"/>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ind w:firstLine="0" w:firstLineChars="0"/>
      <w:jc w:val="left"/>
    </w:pPr>
    <w:r>
      <w:rPr>
        <w:rFonts w:hint="eastAsia"/>
      </w:rPr>
      <w:drawing>
        <wp:inline distT="0" distB="0" distL="114300" distR="114300">
          <wp:extent cx="824865" cy="229870"/>
          <wp:effectExtent l="0" t="0" r="13335" b="17780"/>
          <wp:docPr id="2" name="图片 1"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佰瑞"/>
                  <pic:cNvPicPr>
                    <a:picLocks noChangeAspect="1"/>
                  </pic:cNvPicPr>
                </pic:nvPicPr>
                <pic:blipFill>
                  <a:blip r:embed="rId1"/>
                  <a:stretch>
                    <a:fillRect/>
                  </a:stretch>
                </pic:blipFill>
                <pic:spPr>
                  <a:xfrm>
                    <a:off x="0" y="0"/>
                    <a:ext cx="824865" cy="229870"/>
                  </a:xfrm>
                  <a:prstGeom prst="rect">
                    <a:avLst/>
                  </a:prstGeom>
                  <a:noFill/>
                  <a:ln w="9525">
                    <a:noFill/>
                  </a:ln>
                </pic:spPr>
              </pic:pic>
            </a:graphicData>
          </a:graphic>
        </wp:inline>
      </w:drawing>
    </w:r>
    <w:r>
      <w:rPr>
        <w:rFonts w:hint="eastAsia"/>
      </w:rPr>
      <w:t xml:space="preserve">                                                              </w:t>
    </w:r>
    <w:r>
      <w:rPr>
        <w:rFonts w:hint="eastAsia"/>
        <w:b/>
      </w:rPr>
      <w:t>公开·公平·公正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r>
      <w:rPr>
        <w:rFonts w:hint="eastAsia"/>
      </w:rPr>
      <w:t>四川省工商行政管理局数据中心建设项目政府采购</w:t>
    </w:r>
    <w:r>
      <w:t>—</w:t>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ind w:firstLineChars="1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ind w:firstLine="0" w:firstLineChars="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0E741"/>
    <w:multiLevelType w:val="singleLevel"/>
    <w:tmpl w:val="9070E741"/>
    <w:lvl w:ilvl="0" w:tentative="0">
      <w:start w:val="3"/>
      <w:numFmt w:val="decimal"/>
      <w:lvlText w:val="%1."/>
      <w:lvlJc w:val="left"/>
      <w:pPr>
        <w:tabs>
          <w:tab w:val="left" w:pos="312"/>
        </w:tabs>
      </w:pPr>
    </w:lvl>
  </w:abstractNum>
  <w:abstractNum w:abstractNumId="1">
    <w:nsid w:val="D3FD5D5C"/>
    <w:multiLevelType w:val="singleLevel"/>
    <w:tmpl w:val="D3FD5D5C"/>
    <w:lvl w:ilvl="0" w:tentative="0">
      <w:start w:val="3"/>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GE2OGE4MWRmMWI3OWMzODAzYmFiOThhNjYzMjgifQ=="/>
  </w:docVars>
  <w:rsids>
    <w:rsidRoot w:val="007C12CC"/>
    <w:rsid w:val="00000559"/>
    <w:rsid w:val="000019BE"/>
    <w:rsid w:val="00003A57"/>
    <w:rsid w:val="00005774"/>
    <w:rsid w:val="00005CC9"/>
    <w:rsid w:val="00006737"/>
    <w:rsid w:val="00007796"/>
    <w:rsid w:val="000077AB"/>
    <w:rsid w:val="000077F9"/>
    <w:rsid w:val="000104D0"/>
    <w:rsid w:val="00011A4A"/>
    <w:rsid w:val="000144F9"/>
    <w:rsid w:val="00015AD4"/>
    <w:rsid w:val="00020608"/>
    <w:rsid w:val="00020917"/>
    <w:rsid w:val="000213F3"/>
    <w:rsid w:val="000222FA"/>
    <w:rsid w:val="00023E17"/>
    <w:rsid w:val="000246A5"/>
    <w:rsid w:val="00024A16"/>
    <w:rsid w:val="00026A33"/>
    <w:rsid w:val="00026EC8"/>
    <w:rsid w:val="00027731"/>
    <w:rsid w:val="000314A9"/>
    <w:rsid w:val="00031558"/>
    <w:rsid w:val="00032335"/>
    <w:rsid w:val="00032783"/>
    <w:rsid w:val="00036E22"/>
    <w:rsid w:val="00040038"/>
    <w:rsid w:val="00041C22"/>
    <w:rsid w:val="00041FE4"/>
    <w:rsid w:val="000425F7"/>
    <w:rsid w:val="00043E27"/>
    <w:rsid w:val="00046697"/>
    <w:rsid w:val="00047F62"/>
    <w:rsid w:val="00050590"/>
    <w:rsid w:val="00051224"/>
    <w:rsid w:val="00051366"/>
    <w:rsid w:val="000519AF"/>
    <w:rsid w:val="00051C70"/>
    <w:rsid w:val="000521BD"/>
    <w:rsid w:val="000526C6"/>
    <w:rsid w:val="00052B12"/>
    <w:rsid w:val="00053337"/>
    <w:rsid w:val="00054BA4"/>
    <w:rsid w:val="00055C21"/>
    <w:rsid w:val="00056979"/>
    <w:rsid w:val="00057397"/>
    <w:rsid w:val="00061464"/>
    <w:rsid w:val="0006264C"/>
    <w:rsid w:val="00063677"/>
    <w:rsid w:val="000657E0"/>
    <w:rsid w:val="00065D57"/>
    <w:rsid w:val="0006738D"/>
    <w:rsid w:val="00067759"/>
    <w:rsid w:val="00072D8E"/>
    <w:rsid w:val="00073064"/>
    <w:rsid w:val="0007568E"/>
    <w:rsid w:val="0007588A"/>
    <w:rsid w:val="00081110"/>
    <w:rsid w:val="00081320"/>
    <w:rsid w:val="00081A37"/>
    <w:rsid w:val="00082B75"/>
    <w:rsid w:val="000839A1"/>
    <w:rsid w:val="000839BF"/>
    <w:rsid w:val="00084183"/>
    <w:rsid w:val="0008602F"/>
    <w:rsid w:val="00086A4E"/>
    <w:rsid w:val="0008751E"/>
    <w:rsid w:val="00087A99"/>
    <w:rsid w:val="00090600"/>
    <w:rsid w:val="000930D6"/>
    <w:rsid w:val="00094450"/>
    <w:rsid w:val="000966C9"/>
    <w:rsid w:val="00096E5C"/>
    <w:rsid w:val="00097AC9"/>
    <w:rsid w:val="000A1518"/>
    <w:rsid w:val="000A1D01"/>
    <w:rsid w:val="000A2A84"/>
    <w:rsid w:val="000A4196"/>
    <w:rsid w:val="000A42C7"/>
    <w:rsid w:val="000A4EA5"/>
    <w:rsid w:val="000A651D"/>
    <w:rsid w:val="000B07DD"/>
    <w:rsid w:val="000B270F"/>
    <w:rsid w:val="000B2D1F"/>
    <w:rsid w:val="000B3285"/>
    <w:rsid w:val="000B33BC"/>
    <w:rsid w:val="000B3CAD"/>
    <w:rsid w:val="000B3ED4"/>
    <w:rsid w:val="000B5473"/>
    <w:rsid w:val="000B733A"/>
    <w:rsid w:val="000B7FD8"/>
    <w:rsid w:val="000C00DD"/>
    <w:rsid w:val="000C0146"/>
    <w:rsid w:val="000C0E07"/>
    <w:rsid w:val="000C22DB"/>
    <w:rsid w:val="000C2C6E"/>
    <w:rsid w:val="000C6386"/>
    <w:rsid w:val="000D0F0A"/>
    <w:rsid w:val="000D4EFB"/>
    <w:rsid w:val="000D635E"/>
    <w:rsid w:val="000E2173"/>
    <w:rsid w:val="000E68C0"/>
    <w:rsid w:val="000E77BD"/>
    <w:rsid w:val="000E77EE"/>
    <w:rsid w:val="000F01F6"/>
    <w:rsid w:val="000F2FC7"/>
    <w:rsid w:val="000F438D"/>
    <w:rsid w:val="0010167E"/>
    <w:rsid w:val="001033D2"/>
    <w:rsid w:val="00103D54"/>
    <w:rsid w:val="001041EC"/>
    <w:rsid w:val="00106836"/>
    <w:rsid w:val="00106DB5"/>
    <w:rsid w:val="00111113"/>
    <w:rsid w:val="001114EB"/>
    <w:rsid w:val="001116C7"/>
    <w:rsid w:val="001116FB"/>
    <w:rsid w:val="00111F41"/>
    <w:rsid w:val="00113BC9"/>
    <w:rsid w:val="00114DE5"/>
    <w:rsid w:val="001150A5"/>
    <w:rsid w:val="0012276E"/>
    <w:rsid w:val="0012412F"/>
    <w:rsid w:val="00126223"/>
    <w:rsid w:val="00126265"/>
    <w:rsid w:val="00126D87"/>
    <w:rsid w:val="00130CDC"/>
    <w:rsid w:val="00131932"/>
    <w:rsid w:val="001329EB"/>
    <w:rsid w:val="001355E3"/>
    <w:rsid w:val="00136485"/>
    <w:rsid w:val="00136D53"/>
    <w:rsid w:val="00140451"/>
    <w:rsid w:val="00142470"/>
    <w:rsid w:val="0014258D"/>
    <w:rsid w:val="00143291"/>
    <w:rsid w:val="001449A8"/>
    <w:rsid w:val="0014585E"/>
    <w:rsid w:val="001464DD"/>
    <w:rsid w:val="001466CA"/>
    <w:rsid w:val="00150BFF"/>
    <w:rsid w:val="0015125F"/>
    <w:rsid w:val="00151C5B"/>
    <w:rsid w:val="001533FB"/>
    <w:rsid w:val="00155956"/>
    <w:rsid w:val="00155994"/>
    <w:rsid w:val="00156466"/>
    <w:rsid w:val="00156D44"/>
    <w:rsid w:val="001575FD"/>
    <w:rsid w:val="00157A88"/>
    <w:rsid w:val="00160F60"/>
    <w:rsid w:val="00162E6A"/>
    <w:rsid w:val="001648CD"/>
    <w:rsid w:val="001652F8"/>
    <w:rsid w:val="00165833"/>
    <w:rsid w:val="00166F91"/>
    <w:rsid w:val="00170960"/>
    <w:rsid w:val="00170C8C"/>
    <w:rsid w:val="00170F7A"/>
    <w:rsid w:val="00175AEB"/>
    <w:rsid w:val="00182057"/>
    <w:rsid w:val="0018261B"/>
    <w:rsid w:val="00182BEE"/>
    <w:rsid w:val="0018382C"/>
    <w:rsid w:val="0018390E"/>
    <w:rsid w:val="00183E4E"/>
    <w:rsid w:val="00183F9B"/>
    <w:rsid w:val="00185A39"/>
    <w:rsid w:val="00185F2C"/>
    <w:rsid w:val="00186616"/>
    <w:rsid w:val="00186AEA"/>
    <w:rsid w:val="001876EA"/>
    <w:rsid w:val="00187C36"/>
    <w:rsid w:val="00187D88"/>
    <w:rsid w:val="00190EE5"/>
    <w:rsid w:val="00192A27"/>
    <w:rsid w:val="00193802"/>
    <w:rsid w:val="00195F52"/>
    <w:rsid w:val="00196A24"/>
    <w:rsid w:val="0019756E"/>
    <w:rsid w:val="0019793B"/>
    <w:rsid w:val="001A2823"/>
    <w:rsid w:val="001A4857"/>
    <w:rsid w:val="001A4CB6"/>
    <w:rsid w:val="001A56C8"/>
    <w:rsid w:val="001A67F1"/>
    <w:rsid w:val="001A7ACA"/>
    <w:rsid w:val="001B22E9"/>
    <w:rsid w:val="001B3E78"/>
    <w:rsid w:val="001B490C"/>
    <w:rsid w:val="001B5344"/>
    <w:rsid w:val="001B5E4D"/>
    <w:rsid w:val="001B6F4A"/>
    <w:rsid w:val="001C17DF"/>
    <w:rsid w:val="001C22F1"/>
    <w:rsid w:val="001C2F3D"/>
    <w:rsid w:val="001C3A7F"/>
    <w:rsid w:val="001C4A5B"/>
    <w:rsid w:val="001C5AE6"/>
    <w:rsid w:val="001C6776"/>
    <w:rsid w:val="001C7387"/>
    <w:rsid w:val="001C7E23"/>
    <w:rsid w:val="001D003F"/>
    <w:rsid w:val="001D0F62"/>
    <w:rsid w:val="001D2331"/>
    <w:rsid w:val="001D30C5"/>
    <w:rsid w:val="001D3913"/>
    <w:rsid w:val="001D54A3"/>
    <w:rsid w:val="001E148C"/>
    <w:rsid w:val="001E3B05"/>
    <w:rsid w:val="001E5BB0"/>
    <w:rsid w:val="001E6D3F"/>
    <w:rsid w:val="001F0213"/>
    <w:rsid w:val="001F035E"/>
    <w:rsid w:val="001F0E28"/>
    <w:rsid w:val="001F0F96"/>
    <w:rsid w:val="001F1256"/>
    <w:rsid w:val="001F4352"/>
    <w:rsid w:val="001F595C"/>
    <w:rsid w:val="001F64F5"/>
    <w:rsid w:val="001F70F8"/>
    <w:rsid w:val="00201B61"/>
    <w:rsid w:val="00201CBE"/>
    <w:rsid w:val="00202560"/>
    <w:rsid w:val="00202E70"/>
    <w:rsid w:val="00203D44"/>
    <w:rsid w:val="00206D18"/>
    <w:rsid w:val="00207464"/>
    <w:rsid w:val="0021013C"/>
    <w:rsid w:val="0021183A"/>
    <w:rsid w:val="002120D0"/>
    <w:rsid w:val="002125E6"/>
    <w:rsid w:val="00213AD2"/>
    <w:rsid w:val="002165F3"/>
    <w:rsid w:val="00217737"/>
    <w:rsid w:val="002202B1"/>
    <w:rsid w:val="00220B9E"/>
    <w:rsid w:val="002212B5"/>
    <w:rsid w:val="0022177A"/>
    <w:rsid w:val="00224CDC"/>
    <w:rsid w:val="002270B2"/>
    <w:rsid w:val="00227E87"/>
    <w:rsid w:val="00230304"/>
    <w:rsid w:val="00230D10"/>
    <w:rsid w:val="0023316C"/>
    <w:rsid w:val="002332EA"/>
    <w:rsid w:val="00233659"/>
    <w:rsid w:val="00233ED6"/>
    <w:rsid w:val="002342C9"/>
    <w:rsid w:val="00234CF2"/>
    <w:rsid w:val="00235281"/>
    <w:rsid w:val="0024150F"/>
    <w:rsid w:val="00241A30"/>
    <w:rsid w:val="00241D46"/>
    <w:rsid w:val="00242277"/>
    <w:rsid w:val="00244015"/>
    <w:rsid w:val="002470DA"/>
    <w:rsid w:val="00250FF3"/>
    <w:rsid w:val="0025359C"/>
    <w:rsid w:val="00254093"/>
    <w:rsid w:val="00261E96"/>
    <w:rsid w:val="00262A61"/>
    <w:rsid w:val="0026542D"/>
    <w:rsid w:val="00265F18"/>
    <w:rsid w:val="0026705C"/>
    <w:rsid w:val="002673DA"/>
    <w:rsid w:val="00271AEF"/>
    <w:rsid w:val="00271E3C"/>
    <w:rsid w:val="0027522E"/>
    <w:rsid w:val="002753F5"/>
    <w:rsid w:val="002759FD"/>
    <w:rsid w:val="0027640D"/>
    <w:rsid w:val="0027648C"/>
    <w:rsid w:val="00276D29"/>
    <w:rsid w:val="00277A32"/>
    <w:rsid w:val="0028049C"/>
    <w:rsid w:val="00280F05"/>
    <w:rsid w:val="00281347"/>
    <w:rsid w:val="002857AA"/>
    <w:rsid w:val="00285E5E"/>
    <w:rsid w:val="0028671A"/>
    <w:rsid w:val="00286962"/>
    <w:rsid w:val="00291539"/>
    <w:rsid w:val="0029249F"/>
    <w:rsid w:val="002941C1"/>
    <w:rsid w:val="002A029D"/>
    <w:rsid w:val="002A0B7A"/>
    <w:rsid w:val="002A0C82"/>
    <w:rsid w:val="002A0D14"/>
    <w:rsid w:val="002A1F36"/>
    <w:rsid w:val="002A3853"/>
    <w:rsid w:val="002B067F"/>
    <w:rsid w:val="002B3548"/>
    <w:rsid w:val="002B42F3"/>
    <w:rsid w:val="002B6D25"/>
    <w:rsid w:val="002C0964"/>
    <w:rsid w:val="002C31C3"/>
    <w:rsid w:val="002C350E"/>
    <w:rsid w:val="002C3905"/>
    <w:rsid w:val="002C44C7"/>
    <w:rsid w:val="002C4849"/>
    <w:rsid w:val="002C4C64"/>
    <w:rsid w:val="002C535A"/>
    <w:rsid w:val="002C59A9"/>
    <w:rsid w:val="002C668C"/>
    <w:rsid w:val="002C6CDD"/>
    <w:rsid w:val="002C76FE"/>
    <w:rsid w:val="002C7904"/>
    <w:rsid w:val="002D04BE"/>
    <w:rsid w:val="002D0B6D"/>
    <w:rsid w:val="002D0F6A"/>
    <w:rsid w:val="002D19C8"/>
    <w:rsid w:val="002D21B4"/>
    <w:rsid w:val="002D2CCD"/>
    <w:rsid w:val="002D4E34"/>
    <w:rsid w:val="002D5D7E"/>
    <w:rsid w:val="002D6DD8"/>
    <w:rsid w:val="002D73AE"/>
    <w:rsid w:val="002E1AAD"/>
    <w:rsid w:val="002E2016"/>
    <w:rsid w:val="002E28D6"/>
    <w:rsid w:val="002E3225"/>
    <w:rsid w:val="002E329A"/>
    <w:rsid w:val="002E372F"/>
    <w:rsid w:val="002E38A1"/>
    <w:rsid w:val="002E51B7"/>
    <w:rsid w:val="002E53EC"/>
    <w:rsid w:val="002E5840"/>
    <w:rsid w:val="002E741A"/>
    <w:rsid w:val="002E7B45"/>
    <w:rsid w:val="002F0D48"/>
    <w:rsid w:val="002F17F4"/>
    <w:rsid w:val="002F3919"/>
    <w:rsid w:val="002F5A38"/>
    <w:rsid w:val="002F7303"/>
    <w:rsid w:val="002F797B"/>
    <w:rsid w:val="003004C0"/>
    <w:rsid w:val="00300F5F"/>
    <w:rsid w:val="0030262F"/>
    <w:rsid w:val="00306026"/>
    <w:rsid w:val="003062D9"/>
    <w:rsid w:val="00306A59"/>
    <w:rsid w:val="003123D5"/>
    <w:rsid w:val="00314009"/>
    <w:rsid w:val="003169B3"/>
    <w:rsid w:val="00317628"/>
    <w:rsid w:val="0031787D"/>
    <w:rsid w:val="00321BCE"/>
    <w:rsid w:val="00323546"/>
    <w:rsid w:val="00323FBC"/>
    <w:rsid w:val="00324B01"/>
    <w:rsid w:val="00327B03"/>
    <w:rsid w:val="00327E82"/>
    <w:rsid w:val="003304F4"/>
    <w:rsid w:val="00331FC6"/>
    <w:rsid w:val="00332660"/>
    <w:rsid w:val="003331D2"/>
    <w:rsid w:val="003340EC"/>
    <w:rsid w:val="0033412D"/>
    <w:rsid w:val="00334A11"/>
    <w:rsid w:val="00335BD1"/>
    <w:rsid w:val="00340E32"/>
    <w:rsid w:val="003419CA"/>
    <w:rsid w:val="00342A43"/>
    <w:rsid w:val="003462A8"/>
    <w:rsid w:val="00346A47"/>
    <w:rsid w:val="003479C7"/>
    <w:rsid w:val="003506FA"/>
    <w:rsid w:val="00351AD8"/>
    <w:rsid w:val="0035262B"/>
    <w:rsid w:val="003534C0"/>
    <w:rsid w:val="00354318"/>
    <w:rsid w:val="00354A64"/>
    <w:rsid w:val="00355FC0"/>
    <w:rsid w:val="00356C32"/>
    <w:rsid w:val="00362094"/>
    <w:rsid w:val="00365D6F"/>
    <w:rsid w:val="00370470"/>
    <w:rsid w:val="00370C8A"/>
    <w:rsid w:val="003727DC"/>
    <w:rsid w:val="0037288F"/>
    <w:rsid w:val="0037405F"/>
    <w:rsid w:val="003745BB"/>
    <w:rsid w:val="003774E5"/>
    <w:rsid w:val="00381E2B"/>
    <w:rsid w:val="00384FE6"/>
    <w:rsid w:val="00387088"/>
    <w:rsid w:val="00390F94"/>
    <w:rsid w:val="0039130C"/>
    <w:rsid w:val="00392DEC"/>
    <w:rsid w:val="00393560"/>
    <w:rsid w:val="0039458B"/>
    <w:rsid w:val="00394DD1"/>
    <w:rsid w:val="0039526B"/>
    <w:rsid w:val="00395323"/>
    <w:rsid w:val="00395F91"/>
    <w:rsid w:val="00396A0D"/>
    <w:rsid w:val="00396B9E"/>
    <w:rsid w:val="003A21AF"/>
    <w:rsid w:val="003A4B7D"/>
    <w:rsid w:val="003A71A4"/>
    <w:rsid w:val="003B07A2"/>
    <w:rsid w:val="003B1162"/>
    <w:rsid w:val="003B1AB5"/>
    <w:rsid w:val="003B1C62"/>
    <w:rsid w:val="003B437A"/>
    <w:rsid w:val="003B5FCB"/>
    <w:rsid w:val="003B60C8"/>
    <w:rsid w:val="003B6F87"/>
    <w:rsid w:val="003B7543"/>
    <w:rsid w:val="003C0054"/>
    <w:rsid w:val="003C14AB"/>
    <w:rsid w:val="003C1E7C"/>
    <w:rsid w:val="003C2E26"/>
    <w:rsid w:val="003C52B3"/>
    <w:rsid w:val="003C668B"/>
    <w:rsid w:val="003D1437"/>
    <w:rsid w:val="003D2851"/>
    <w:rsid w:val="003D30B3"/>
    <w:rsid w:val="003D3808"/>
    <w:rsid w:val="003D629B"/>
    <w:rsid w:val="003D6FFA"/>
    <w:rsid w:val="003D7028"/>
    <w:rsid w:val="003D7108"/>
    <w:rsid w:val="003E2798"/>
    <w:rsid w:val="003E2B50"/>
    <w:rsid w:val="003E35F5"/>
    <w:rsid w:val="003E5045"/>
    <w:rsid w:val="003F06C9"/>
    <w:rsid w:val="003F1383"/>
    <w:rsid w:val="003F18C1"/>
    <w:rsid w:val="003F2520"/>
    <w:rsid w:val="003F2847"/>
    <w:rsid w:val="003F2C09"/>
    <w:rsid w:val="003F4457"/>
    <w:rsid w:val="003F4E15"/>
    <w:rsid w:val="00401C23"/>
    <w:rsid w:val="00403397"/>
    <w:rsid w:val="00404E21"/>
    <w:rsid w:val="004050CA"/>
    <w:rsid w:val="004056A0"/>
    <w:rsid w:val="00406DC2"/>
    <w:rsid w:val="004127EE"/>
    <w:rsid w:val="00414B6E"/>
    <w:rsid w:val="00415883"/>
    <w:rsid w:val="00416811"/>
    <w:rsid w:val="004200EE"/>
    <w:rsid w:val="00420862"/>
    <w:rsid w:val="004213EE"/>
    <w:rsid w:val="004233F9"/>
    <w:rsid w:val="00424AC7"/>
    <w:rsid w:val="004259A8"/>
    <w:rsid w:val="004265FC"/>
    <w:rsid w:val="0042677C"/>
    <w:rsid w:val="00430177"/>
    <w:rsid w:val="00430577"/>
    <w:rsid w:val="00431901"/>
    <w:rsid w:val="0043274E"/>
    <w:rsid w:val="004339C5"/>
    <w:rsid w:val="00433B7C"/>
    <w:rsid w:val="004342A1"/>
    <w:rsid w:val="00435926"/>
    <w:rsid w:val="00436108"/>
    <w:rsid w:val="00436A1E"/>
    <w:rsid w:val="0043772E"/>
    <w:rsid w:val="00437F68"/>
    <w:rsid w:val="00441691"/>
    <w:rsid w:val="00441741"/>
    <w:rsid w:val="0044200C"/>
    <w:rsid w:val="004421D5"/>
    <w:rsid w:val="00443EB7"/>
    <w:rsid w:val="004440D6"/>
    <w:rsid w:val="00444120"/>
    <w:rsid w:val="0044451B"/>
    <w:rsid w:val="00445769"/>
    <w:rsid w:val="0044731D"/>
    <w:rsid w:val="004473ED"/>
    <w:rsid w:val="00447F5D"/>
    <w:rsid w:val="00451554"/>
    <w:rsid w:val="004522CD"/>
    <w:rsid w:val="00453DA2"/>
    <w:rsid w:val="00454103"/>
    <w:rsid w:val="00455095"/>
    <w:rsid w:val="004550DC"/>
    <w:rsid w:val="00457964"/>
    <w:rsid w:val="00461F51"/>
    <w:rsid w:val="00463396"/>
    <w:rsid w:val="0046360B"/>
    <w:rsid w:val="00463E06"/>
    <w:rsid w:val="0046458D"/>
    <w:rsid w:val="00465A54"/>
    <w:rsid w:val="004671CE"/>
    <w:rsid w:val="004675B6"/>
    <w:rsid w:val="00467758"/>
    <w:rsid w:val="00474A2F"/>
    <w:rsid w:val="00476556"/>
    <w:rsid w:val="004801CB"/>
    <w:rsid w:val="0048139D"/>
    <w:rsid w:val="004816E3"/>
    <w:rsid w:val="004837E8"/>
    <w:rsid w:val="00484A3D"/>
    <w:rsid w:val="0048581D"/>
    <w:rsid w:val="004859C3"/>
    <w:rsid w:val="00485EDF"/>
    <w:rsid w:val="00485FBE"/>
    <w:rsid w:val="00486605"/>
    <w:rsid w:val="00486E75"/>
    <w:rsid w:val="00490A1F"/>
    <w:rsid w:val="0049365B"/>
    <w:rsid w:val="00496973"/>
    <w:rsid w:val="004A11B8"/>
    <w:rsid w:val="004A2B4F"/>
    <w:rsid w:val="004A32BE"/>
    <w:rsid w:val="004A42BF"/>
    <w:rsid w:val="004A54F3"/>
    <w:rsid w:val="004A6596"/>
    <w:rsid w:val="004B42C6"/>
    <w:rsid w:val="004B4E67"/>
    <w:rsid w:val="004B58B4"/>
    <w:rsid w:val="004B7913"/>
    <w:rsid w:val="004B7CD4"/>
    <w:rsid w:val="004C22B4"/>
    <w:rsid w:val="004C2619"/>
    <w:rsid w:val="004C2D18"/>
    <w:rsid w:val="004C3CC5"/>
    <w:rsid w:val="004D17B5"/>
    <w:rsid w:val="004D1CAF"/>
    <w:rsid w:val="004D1D4C"/>
    <w:rsid w:val="004D3E01"/>
    <w:rsid w:val="004D438D"/>
    <w:rsid w:val="004D575F"/>
    <w:rsid w:val="004D6AA0"/>
    <w:rsid w:val="004D6CD1"/>
    <w:rsid w:val="004D6EA3"/>
    <w:rsid w:val="004D7BA9"/>
    <w:rsid w:val="004E095F"/>
    <w:rsid w:val="004E0DC1"/>
    <w:rsid w:val="004E11F9"/>
    <w:rsid w:val="004E2523"/>
    <w:rsid w:val="004E2893"/>
    <w:rsid w:val="004E2BA2"/>
    <w:rsid w:val="004E48B7"/>
    <w:rsid w:val="004E4ECE"/>
    <w:rsid w:val="004E6DD3"/>
    <w:rsid w:val="004F0142"/>
    <w:rsid w:val="004F04F0"/>
    <w:rsid w:val="004F053A"/>
    <w:rsid w:val="004F16D7"/>
    <w:rsid w:val="004F1A77"/>
    <w:rsid w:val="004F2615"/>
    <w:rsid w:val="004F2BA1"/>
    <w:rsid w:val="004F3148"/>
    <w:rsid w:val="005007EB"/>
    <w:rsid w:val="0050136D"/>
    <w:rsid w:val="00501C61"/>
    <w:rsid w:val="00504DCC"/>
    <w:rsid w:val="00505E5F"/>
    <w:rsid w:val="0050650D"/>
    <w:rsid w:val="00507F4E"/>
    <w:rsid w:val="005113C8"/>
    <w:rsid w:val="005138AB"/>
    <w:rsid w:val="005148EF"/>
    <w:rsid w:val="00514A7E"/>
    <w:rsid w:val="00515042"/>
    <w:rsid w:val="00516884"/>
    <w:rsid w:val="005208D7"/>
    <w:rsid w:val="0052149F"/>
    <w:rsid w:val="00522031"/>
    <w:rsid w:val="005234C2"/>
    <w:rsid w:val="00523CCB"/>
    <w:rsid w:val="00524715"/>
    <w:rsid w:val="0052602C"/>
    <w:rsid w:val="005275DB"/>
    <w:rsid w:val="0053212F"/>
    <w:rsid w:val="0053654A"/>
    <w:rsid w:val="005368BB"/>
    <w:rsid w:val="005379D8"/>
    <w:rsid w:val="00541535"/>
    <w:rsid w:val="0054439D"/>
    <w:rsid w:val="00544B70"/>
    <w:rsid w:val="005455D7"/>
    <w:rsid w:val="0054613F"/>
    <w:rsid w:val="005461D8"/>
    <w:rsid w:val="00546F02"/>
    <w:rsid w:val="00547477"/>
    <w:rsid w:val="00550637"/>
    <w:rsid w:val="0055184F"/>
    <w:rsid w:val="00551E54"/>
    <w:rsid w:val="00552A5B"/>
    <w:rsid w:val="00554320"/>
    <w:rsid w:val="005568DA"/>
    <w:rsid w:val="00557055"/>
    <w:rsid w:val="0055769A"/>
    <w:rsid w:val="005603D7"/>
    <w:rsid w:val="00560776"/>
    <w:rsid w:val="00560DE7"/>
    <w:rsid w:val="00563E17"/>
    <w:rsid w:val="00564C88"/>
    <w:rsid w:val="005651F2"/>
    <w:rsid w:val="0056598F"/>
    <w:rsid w:val="00566AE5"/>
    <w:rsid w:val="00567C3D"/>
    <w:rsid w:val="00567FBF"/>
    <w:rsid w:val="0057677E"/>
    <w:rsid w:val="005770E1"/>
    <w:rsid w:val="00577D31"/>
    <w:rsid w:val="00577F85"/>
    <w:rsid w:val="005842FC"/>
    <w:rsid w:val="00584B6C"/>
    <w:rsid w:val="005853C6"/>
    <w:rsid w:val="005854E4"/>
    <w:rsid w:val="00585B93"/>
    <w:rsid w:val="00585C10"/>
    <w:rsid w:val="00585D18"/>
    <w:rsid w:val="005865C2"/>
    <w:rsid w:val="00586CD5"/>
    <w:rsid w:val="0058730B"/>
    <w:rsid w:val="005876D8"/>
    <w:rsid w:val="005879DE"/>
    <w:rsid w:val="00590091"/>
    <w:rsid w:val="0059168E"/>
    <w:rsid w:val="00591E80"/>
    <w:rsid w:val="005922EF"/>
    <w:rsid w:val="005923C7"/>
    <w:rsid w:val="0059477D"/>
    <w:rsid w:val="0059553F"/>
    <w:rsid w:val="005A33B5"/>
    <w:rsid w:val="005A38B4"/>
    <w:rsid w:val="005A5185"/>
    <w:rsid w:val="005A57B3"/>
    <w:rsid w:val="005A6B6C"/>
    <w:rsid w:val="005B0EA2"/>
    <w:rsid w:val="005B328C"/>
    <w:rsid w:val="005B57BC"/>
    <w:rsid w:val="005B60A0"/>
    <w:rsid w:val="005B7C12"/>
    <w:rsid w:val="005C0082"/>
    <w:rsid w:val="005C08FA"/>
    <w:rsid w:val="005C10F2"/>
    <w:rsid w:val="005C2400"/>
    <w:rsid w:val="005C36DE"/>
    <w:rsid w:val="005C3E17"/>
    <w:rsid w:val="005C451E"/>
    <w:rsid w:val="005C481D"/>
    <w:rsid w:val="005D03F8"/>
    <w:rsid w:val="005D1258"/>
    <w:rsid w:val="005D1D9E"/>
    <w:rsid w:val="005D3376"/>
    <w:rsid w:val="005D3AEC"/>
    <w:rsid w:val="005D3FB2"/>
    <w:rsid w:val="005D40AC"/>
    <w:rsid w:val="005D72BC"/>
    <w:rsid w:val="005D7781"/>
    <w:rsid w:val="005E0927"/>
    <w:rsid w:val="005E0D01"/>
    <w:rsid w:val="005E0EB8"/>
    <w:rsid w:val="005E14C0"/>
    <w:rsid w:val="005E1F48"/>
    <w:rsid w:val="005E290B"/>
    <w:rsid w:val="005E3074"/>
    <w:rsid w:val="005E32CF"/>
    <w:rsid w:val="005E4E88"/>
    <w:rsid w:val="005E614F"/>
    <w:rsid w:val="005E61DB"/>
    <w:rsid w:val="005F1099"/>
    <w:rsid w:val="005F28F4"/>
    <w:rsid w:val="005F30CC"/>
    <w:rsid w:val="005F39AC"/>
    <w:rsid w:val="005F3B0B"/>
    <w:rsid w:val="005F3F75"/>
    <w:rsid w:val="005F4BF1"/>
    <w:rsid w:val="005F75DA"/>
    <w:rsid w:val="005F7D18"/>
    <w:rsid w:val="00602315"/>
    <w:rsid w:val="00604124"/>
    <w:rsid w:val="00604D76"/>
    <w:rsid w:val="00604EDA"/>
    <w:rsid w:val="00604EDE"/>
    <w:rsid w:val="00605136"/>
    <w:rsid w:val="006063A3"/>
    <w:rsid w:val="0060753A"/>
    <w:rsid w:val="00610DCC"/>
    <w:rsid w:val="00610F4A"/>
    <w:rsid w:val="006120A9"/>
    <w:rsid w:val="00614B06"/>
    <w:rsid w:val="00614DE1"/>
    <w:rsid w:val="00616225"/>
    <w:rsid w:val="006169D0"/>
    <w:rsid w:val="00616C8F"/>
    <w:rsid w:val="00616EAA"/>
    <w:rsid w:val="00621CD9"/>
    <w:rsid w:val="00626234"/>
    <w:rsid w:val="006275B9"/>
    <w:rsid w:val="006320F8"/>
    <w:rsid w:val="0063267C"/>
    <w:rsid w:val="00635364"/>
    <w:rsid w:val="0063681B"/>
    <w:rsid w:val="00637E99"/>
    <w:rsid w:val="006408F2"/>
    <w:rsid w:val="0064199C"/>
    <w:rsid w:val="00643045"/>
    <w:rsid w:val="00645E26"/>
    <w:rsid w:val="00646570"/>
    <w:rsid w:val="006469D2"/>
    <w:rsid w:val="00646C46"/>
    <w:rsid w:val="00650656"/>
    <w:rsid w:val="00650EC4"/>
    <w:rsid w:val="00651826"/>
    <w:rsid w:val="00652426"/>
    <w:rsid w:val="00652478"/>
    <w:rsid w:val="00654DB0"/>
    <w:rsid w:val="00654FB2"/>
    <w:rsid w:val="0065793E"/>
    <w:rsid w:val="0066172E"/>
    <w:rsid w:val="00662776"/>
    <w:rsid w:val="006632F7"/>
    <w:rsid w:val="00663FA4"/>
    <w:rsid w:val="00665426"/>
    <w:rsid w:val="006663EE"/>
    <w:rsid w:val="006666FB"/>
    <w:rsid w:val="00666FAA"/>
    <w:rsid w:val="0066748C"/>
    <w:rsid w:val="00667F67"/>
    <w:rsid w:val="006704CE"/>
    <w:rsid w:val="0067075C"/>
    <w:rsid w:val="0067076F"/>
    <w:rsid w:val="00672A41"/>
    <w:rsid w:val="006733AC"/>
    <w:rsid w:val="006757B5"/>
    <w:rsid w:val="0067730D"/>
    <w:rsid w:val="00677EB4"/>
    <w:rsid w:val="006815B2"/>
    <w:rsid w:val="00682060"/>
    <w:rsid w:val="00682AC8"/>
    <w:rsid w:val="00682B9E"/>
    <w:rsid w:val="0068510B"/>
    <w:rsid w:val="006860AD"/>
    <w:rsid w:val="00687E71"/>
    <w:rsid w:val="00691F63"/>
    <w:rsid w:val="006933F5"/>
    <w:rsid w:val="0069443D"/>
    <w:rsid w:val="006969B6"/>
    <w:rsid w:val="0069707B"/>
    <w:rsid w:val="00697C08"/>
    <w:rsid w:val="006A107E"/>
    <w:rsid w:val="006A3749"/>
    <w:rsid w:val="006A39FD"/>
    <w:rsid w:val="006A45A1"/>
    <w:rsid w:val="006A4D81"/>
    <w:rsid w:val="006A6791"/>
    <w:rsid w:val="006A736A"/>
    <w:rsid w:val="006A7FB3"/>
    <w:rsid w:val="006A7FB6"/>
    <w:rsid w:val="006B2752"/>
    <w:rsid w:val="006B2E6F"/>
    <w:rsid w:val="006B3179"/>
    <w:rsid w:val="006B3693"/>
    <w:rsid w:val="006B43B6"/>
    <w:rsid w:val="006B4878"/>
    <w:rsid w:val="006B5F05"/>
    <w:rsid w:val="006B6634"/>
    <w:rsid w:val="006B7390"/>
    <w:rsid w:val="006B791C"/>
    <w:rsid w:val="006C01B8"/>
    <w:rsid w:val="006C3079"/>
    <w:rsid w:val="006C4A20"/>
    <w:rsid w:val="006C6CCB"/>
    <w:rsid w:val="006C7A58"/>
    <w:rsid w:val="006D068B"/>
    <w:rsid w:val="006D3A09"/>
    <w:rsid w:val="006D4E10"/>
    <w:rsid w:val="006D5818"/>
    <w:rsid w:val="006D683F"/>
    <w:rsid w:val="006D7536"/>
    <w:rsid w:val="006D7AA8"/>
    <w:rsid w:val="006E280B"/>
    <w:rsid w:val="006E3819"/>
    <w:rsid w:val="006E3977"/>
    <w:rsid w:val="006E3EA3"/>
    <w:rsid w:val="006E57C3"/>
    <w:rsid w:val="006E6C7E"/>
    <w:rsid w:val="006E7851"/>
    <w:rsid w:val="006E7EC3"/>
    <w:rsid w:val="006F1006"/>
    <w:rsid w:val="006F17E7"/>
    <w:rsid w:val="006F19FC"/>
    <w:rsid w:val="006F1BA5"/>
    <w:rsid w:val="006F3866"/>
    <w:rsid w:val="006F3CFC"/>
    <w:rsid w:val="006F413E"/>
    <w:rsid w:val="006F5251"/>
    <w:rsid w:val="006F6F4D"/>
    <w:rsid w:val="00702EBE"/>
    <w:rsid w:val="00706597"/>
    <w:rsid w:val="00706954"/>
    <w:rsid w:val="00707B59"/>
    <w:rsid w:val="00711267"/>
    <w:rsid w:val="0071161C"/>
    <w:rsid w:val="00713915"/>
    <w:rsid w:val="00714EEB"/>
    <w:rsid w:val="00715BA6"/>
    <w:rsid w:val="00716115"/>
    <w:rsid w:val="0072386F"/>
    <w:rsid w:val="0072427E"/>
    <w:rsid w:val="00724A47"/>
    <w:rsid w:val="007265EB"/>
    <w:rsid w:val="007266F6"/>
    <w:rsid w:val="00730609"/>
    <w:rsid w:val="00731DA2"/>
    <w:rsid w:val="00734122"/>
    <w:rsid w:val="00737F15"/>
    <w:rsid w:val="00741F8D"/>
    <w:rsid w:val="00742877"/>
    <w:rsid w:val="0074393D"/>
    <w:rsid w:val="00743991"/>
    <w:rsid w:val="007454F2"/>
    <w:rsid w:val="007502DB"/>
    <w:rsid w:val="007515C4"/>
    <w:rsid w:val="00752486"/>
    <w:rsid w:val="00753507"/>
    <w:rsid w:val="007540CC"/>
    <w:rsid w:val="00755A08"/>
    <w:rsid w:val="00757D3C"/>
    <w:rsid w:val="00760C62"/>
    <w:rsid w:val="00762396"/>
    <w:rsid w:val="00762466"/>
    <w:rsid w:val="007646F7"/>
    <w:rsid w:val="007663CC"/>
    <w:rsid w:val="00766C89"/>
    <w:rsid w:val="007673B6"/>
    <w:rsid w:val="007707AA"/>
    <w:rsid w:val="00770F7B"/>
    <w:rsid w:val="00774962"/>
    <w:rsid w:val="00776099"/>
    <w:rsid w:val="00776316"/>
    <w:rsid w:val="00776E14"/>
    <w:rsid w:val="00777A31"/>
    <w:rsid w:val="00780146"/>
    <w:rsid w:val="00781C4C"/>
    <w:rsid w:val="00782920"/>
    <w:rsid w:val="007866F2"/>
    <w:rsid w:val="00791E84"/>
    <w:rsid w:val="0079465C"/>
    <w:rsid w:val="007946B0"/>
    <w:rsid w:val="00795046"/>
    <w:rsid w:val="00796400"/>
    <w:rsid w:val="007A01F7"/>
    <w:rsid w:val="007A0F8C"/>
    <w:rsid w:val="007A13C0"/>
    <w:rsid w:val="007A4490"/>
    <w:rsid w:val="007A4F56"/>
    <w:rsid w:val="007A54FF"/>
    <w:rsid w:val="007A5D05"/>
    <w:rsid w:val="007A6435"/>
    <w:rsid w:val="007A6926"/>
    <w:rsid w:val="007A6D18"/>
    <w:rsid w:val="007A7069"/>
    <w:rsid w:val="007A70D1"/>
    <w:rsid w:val="007A7526"/>
    <w:rsid w:val="007B283B"/>
    <w:rsid w:val="007B2F12"/>
    <w:rsid w:val="007B50CA"/>
    <w:rsid w:val="007B52F4"/>
    <w:rsid w:val="007B6900"/>
    <w:rsid w:val="007B71BD"/>
    <w:rsid w:val="007B7884"/>
    <w:rsid w:val="007C0294"/>
    <w:rsid w:val="007C088F"/>
    <w:rsid w:val="007C12CC"/>
    <w:rsid w:val="007C3B0F"/>
    <w:rsid w:val="007C536E"/>
    <w:rsid w:val="007C6221"/>
    <w:rsid w:val="007D01BD"/>
    <w:rsid w:val="007D0F24"/>
    <w:rsid w:val="007D39B1"/>
    <w:rsid w:val="007D5453"/>
    <w:rsid w:val="007D788A"/>
    <w:rsid w:val="007E193D"/>
    <w:rsid w:val="007E31A6"/>
    <w:rsid w:val="007E43E2"/>
    <w:rsid w:val="007E4F90"/>
    <w:rsid w:val="007E6199"/>
    <w:rsid w:val="007E7151"/>
    <w:rsid w:val="007E7280"/>
    <w:rsid w:val="007E781D"/>
    <w:rsid w:val="007E7D30"/>
    <w:rsid w:val="007F00ED"/>
    <w:rsid w:val="007F190E"/>
    <w:rsid w:val="007F2F7A"/>
    <w:rsid w:val="007F591F"/>
    <w:rsid w:val="007F5FAD"/>
    <w:rsid w:val="007F620C"/>
    <w:rsid w:val="007F7CD6"/>
    <w:rsid w:val="008004E8"/>
    <w:rsid w:val="0080163B"/>
    <w:rsid w:val="00801814"/>
    <w:rsid w:val="00801AA6"/>
    <w:rsid w:val="00801B05"/>
    <w:rsid w:val="00801F38"/>
    <w:rsid w:val="008025D3"/>
    <w:rsid w:val="00807A32"/>
    <w:rsid w:val="00807BB1"/>
    <w:rsid w:val="008102C8"/>
    <w:rsid w:val="0081101A"/>
    <w:rsid w:val="008127C3"/>
    <w:rsid w:val="00813B77"/>
    <w:rsid w:val="00813CE2"/>
    <w:rsid w:val="00814678"/>
    <w:rsid w:val="00817AF5"/>
    <w:rsid w:val="00817D9E"/>
    <w:rsid w:val="0082316F"/>
    <w:rsid w:val="008265CE"/>
    <w:rsid w:val="008266FA"/>
    <w:rsid w:val="00830A98"/>
    <w:rsid w:val="00831330"/>
    <w:rsid w:val="00831E35"/>
    <w:rsid w:val="00832772"/>
    <w:rsid w:val="00834090"/>
    <w:rsid w:val="00835F71"/>
    <w:rsid w:val="008373DB"/>
    <w:rsid w:val="00837CCC"/>
    <w:rsid w:val="00841CA6"/>
    <w:rsid w:val="00842C0E"/>
    <w:rsid w:val="00842CC3"/>
    <w:rsid w:val="008470C3"/>
    <w:rsid w:val="00847236"/>
    <w:rsid w:val="00847272"/>
    <w:rsid w:val="00847B06"/>
    <w:rsid w:val="00850444"/>
    <w:rsid w:val="008510BC"/>
    <w:rsid w:val="00851335"/>
    <w:rsid w:val="008516D9"/>
    <w:rsid w:val="00851D92"/>
    <w:rsid w:val="00852A2A"/>
    <w:rsid w:val="00852C0D"/>
    <w:rsid w:val="00852E08"/>
    <w:rsid w:val="00852EFF"/>
    <w:rsid w:val="00853F29"/>
    <w:rsid w:val="0085797E"/>
    <w:rsid w:val="00857EA5"/>
    <w:rsid w:val="00862E81"/>
    <w:rsid w:val="00863326"/>
    <w:rsid w:val="008658F3"/>
    <w:rsid w:val="0087069A"/>
    <w:rsid w:val="008708C2"/>
    <w:rsid w:val="00872CD2"/>
    <w:rsid w:val="00875AF4"/>
    <w:rsid w:val="00876477"/>
    <w:rsid w:val="0087700E"/>
    <w:rsid w:val="00881AE5"/>
    <w:rsid w:val="00885C50"/>
    <w:rsid w:val="00886BA9"/>
    <w:rsid w:val="008904D4"/>
    <w:rsid w:val="008923CE"/>
    <w:rsid w:val="00892A18"/>
    <w:rsid w:val="00893EDE"/>
    <w:rsid w:val="008944AF"/>
    <w:rsid w:val="008952B3"/>
    <w:rsid w:val="00895FB0"/>
    <w:rsid w:val="00897809"/>
    <w:rsid w:val="008A0EDA"/>
    <w:rsid w:val="008A2325"/>
    <w:rsid w:val="008A3BA2"/>
    <w:rsid w:val="008A4078"/>
    <w:rsid w:val="008A439A"/>
    <w:rsid w:val="008A7983"/>
    <w:rsid w:val="008B09BE"/>
    <w:rsid w:val="008B273F"/>
    <w:rsid w:val="008B2779"/>
    <w:rsid w:val="008B2B51"/>
    <w:rsid w:val="008B3229"/>
    <w:rsid w:val="008B346E"/>
    <w:rsid w:val="008B3F5D"/>
    <w:rsid w:val="008B403D"/>
    <w:rsid w:val="008B4D89"/>
    <w:rsid w:val="008B4E2A"/>
    <w:rsid w:val="008B5102"/>
    <w:rsid w:val="008B535B"/>
    <w:rsid w:val="008B59C9"/>
    <w:rsid w:val="008B68FD"/>
    <w:rsid w:val="008C2AB4"/>
    <w:rsid w:val="008C2E09"/>
    <w:rsid w:val="008C32D0"/>
    <w:rsid w:val="008C3970"/>
    <w:rsid w:val="008C40B0"/>
    <w:rsid w:val="008C4F7A"/>
    <w:rsid w:val="008C7789"/>
    <w:rsid w:val="008D0E70"/>
    <w:rsid w:val="008D1730"/>
    <w:rsid w:val="008D1D03"/>
    <w:rsid w:val="008D2C34"/>
    <w:rsid w:val="008D39E4"/>
    <w:rsid w:val="008D3C61"/>
    <w:rsid w:val="008D62CD"/>
    <w:rsid w:val="008D6485"/>
    <w:rsid w:val="008D706D"/>
    <w:rsid w:val="008E1015"/>
    <w:rsid w:val="008E1ADA"/>
    <w:rsid w:val="008E370B"/>
    <w:rsid w:val="008E46ED"/>
    <w:rsid w:val="008E5F09"/>
    <w:rsid w:val="008E7CFD"/>
    <w:rsid w:val="008F1DDA"/>
    <w:rsid w:val="008F1F67"/>
    <w:rsid w:val="008F1FB3"/>
    <w:rsid w:val="008F2D87"/>
    <w:rsid w:val="008F39B8"/>
    <w:rsid w:val="008F58E2"/>
    <w:rsid w:val="009018E5"/>
    <w:rsid w:val="00901C1E"/>
    <w:rsid w:val="00902CF4"/>
    <w:rsid w:val="009046C0"/>
    <w:rsid w:val="0090478A"/>
    <w:rsid w:val="009056D3"/>
    <w:rsid w:val="00906D99"/>
    <w:rsid w:val="00906F02"/>
    <w:rsid w:val="0090706C"/>
    <w:rsid w:val="00907D77"/>
    <w:rsid w:val="00914330"/>
    <w:rsid w:val="009163B4"/>
    <w:rsid w:val="0091701E"/>
    <w:rsid w:val="009210D4"/>
    <w:rsid w:val="0092358B"/>
    <w:rsid w:val="009235E0"/>
    <w:rsid w:val="00924372"/>
    <w:rsid w:val="00924A8B"/>
    <w:rsid w:val="0092521F"/>
    <w:rsid w:val="00925B73"/>
    <w:rsid w:val="00925CCC"/>
    <w:rsid w:val="0092623C"/>
    <w:rsid w:val="00926C84"/>
    <w:rsid w:val="00926E97"/>
    <w:rsid w:val="00927144"/>
    <w:rsid w:val="009306D2"/>
    <w:rsid w:val="009310B4"/>
    <w:rsid w:val="009323AC"/>
    <w:rsid w:val="00933D99"/>
    <w:rsid w:val="009346ED"/>
    <w:rsid w:val="0093790A"/>
    <w:rsid w:val="0094009D"/>
    <w:rsid w:val="00941FA8"/>
    <w:rsid w:val="00942743"/>
    <w:rsid w:val="0094330E"/>
    <w:rsid w:val="00944EAF"/>
    <w:rsid w:val="00945A9B"/>
    <w:rsid w:val="00951D2F"/>
    <w:rsid w:val="00960DFA"/>
    <w:rsid w:val="009618EC"/>
    <w:rsid w:val="00961BBD"/>
    <w:rsid w:val="00962355"/>
    <w:rsid w:val="0096295D"/>
    <w:rsid w:val="0096441A"/>
    <w:rsid w:val="00964479"/>
    <w:rsid w:val="009649F1"/>
    <w:rsid w:val="00966913"/>
    <w:rsid w:val="0097195D"/>
    <w:rsid w:val="009721A4"/>
    <w:rsid w:val="00973B42"/>
    <w:rsid w:val="00974429"/>
    <w:rsid w:val="009752EE"/>
    <w:rsid w:val="0097576E"/>
    <w:rsid w:val="00976231"/>
    <w:rsid w:val="00976447"/>
    <w:rsid w:val="00977795"/>
    <w:rsid w:val="00980202"/>
    <w:rsid w:val="0098098D"/>
    <w:rsid w:val="00982994"/>
    <w:rsid w:val="009847E1"/>
    <w:rsid w:val="0098675D"/>
    <w:rsid w:val="00990E2B"/>
    <w:rsid w:val="00992DA8"/>
    <w:rsid w:val="0099514C"/>
    <w:rsid w:val="00995438"/>
    <w:rsid w:val="00995709"/>
    <w:rsid w:val="00996CE3"/>
    <w:rsid w:val="0099713B"/>
    <w:rsid w:val="009A0958"/>
    <w:rsid w:val="009A1F5B"/>
    <w:rsid w:val="009A1FE1"/>
    <w:rsid w:val="009A4A19"/>
    <w:rsid w:val="009A4BD5"/>
    <w:rsid w:val="009A5259"/>
    <w:rsid w:val="009B168B"/>
    <w:rsid w:val="009B1C14"/>
    <w:rsid w:val="009B25C5"/>
    <w:rsid w:val="009B35C3"/>
    <w:rsid w:val="009B4883"/>
    <w:rsid w:val="009B4CC4"/>
    <w:rsid w:val="009B5988"/>
    <w:rsid w:val="009B64BB"/>
    <w:rsid w:val="009C01FB"/>
    <w:rsid w:val="009C17E0"/>
    <w:rsid w:val="009C477B"/>
    <w:rsid w:val="009C68E6"/>
    <w:rsid w:val="009D0197"/>
    <w:rsid w:val="009D19AE"/>
    <w:rsid w:val="009D3609"/>
    <w:rsid w:val="009D654E"/>
    <w:rsid w:val="009D7994"/>
    <w:rsid w:val="009E1B09"/>
    <w:rsid w:val="009E3963"/>
    <w:rsid w:val="009E3D4D"/>
    <w:rsid w:val="009E46B1"/>
    <w:rsid w:val="009F1D1B"/>
    <w:rsid w:val="009F1FFE"/>
    <w:rsid w:val="009F31B2"/>
    <w:rsid w:val="00A00C83"/>
    <w:rsid w:val="00A03BB3"/>
    <w:rsid w:val="00A03DAD"/>
    <w:rsid w:val="00A04EEF"/>
    <w:rsid w:val="00A064ED"/>
    <w:rsid w:val="00A066BF"/>
    <w:rsid w:val="00A06868"/>
    <w:rsid w:val="00A075EF"/>
    <w:rsid w:val="00A07620"/>
    <w:rsid w:val="00A1093E"/>
    <w:rsid w:val="00A113FB"/>
    <w:rsid w:val="00A11BF4"/>
    <w:rsid w:val="00A1253B"/>
    <w:rsid w:val="00A127F5"/>
    <w:rsid w:val="00A130E7"/>
    <w:rsid w:val="00A17860"/>
    <w:rsid w:val="00A20054"/>
    <w:rsid w:val="00A21609"/>
    <w:rsid w:val="00A22A44"/>
    <w:rsid w:val="00A22C16"/>
    <w:rsid w:val="00A25B97"/>
    <w:rsid w:val="00A33051"/>
    <w:rsid w:val="00A33805"/>
    <w:rsid w:val="00A34DB9"/>
    <w:rsid w:val="00A352E9"/>
    <w:rsid w:val="00A3546D"/>
    <w:rsid w:val="00A35DEB"/>
    <w:rsid w:val="00A365D7"/>
    <w:rsid w:val="00A36E24"/>
    <w:rsid w:val="00A3731C"/>
    <w:rsid w:val="00A3757E"/>
    <w:rsid w:val="00A376F2"/>
    <w:rsid w:val="00A3777D"/>
    <w:rsid w:val="00A40262"/>
    <w:rsid w:val="00A40BCF"/>
    <w:rsid w:val="00A41D33"/>
    <w:rsid w:val="00A429C2"/>
    <w:rsid w:val="00A43BBF"/>
    <w:rsid w:val="00A43DCA"/>
    <w:rsid w:val="00A444E9"/>
    <w:rsid w:val="00A450A0"/>
    <w:rsid w:val="00A47051"/>
    <w:rsid w:val="00A47F1B"/>
    <w:rsid w:val="00A50056"/>
    <w:rsid w:val="00A5089A"/>
    <w:rsid w:val="00A51A79"/>
    <w:rsid w:val="00A51C36"/>
    <w:rsid w:val="00A53021"/>
    <w:rsid w:val="00A53268"/>
    <w:rsid w:val="00A55297"/>
    <w:rsid w:val="00A55909"/>
    <w:rsid w:val="00A56F0A"/>
    <w:rsid w:val="00A5782A"/>
    <w:rsid w:val="00A6127B"/>
    <w:rsid w:val="00A65E47"/>
    <w:rsid w:val="00A66416"/>
    <w:rsid w:val="00A71F21"/>
    <w:rsid w:val="00A71F44"/>
    <w:rsid w:val="00A72174"/>
    <w:rsid w:val="00A72570"/>
    <w:rsid w:val="00A73317"/>
    <w:rsid w:val="00A77774"/>
    <w:rsid w:val="00A80E60"/>
    <w:rsid w:val="00A8489E"/>
    <w:rsid w:val="00A85309"/>
    <w:rsid w:val="00A858C3"/>
    <w:rsid w:val="00A86A36"/>
    <w:rsid w:val="00A87F68"/>
    <w:rsid w:val="00A917B6"/>
    <w:rsid w:val="00A93FF7"/>
    <w:rsid w:val="00A94B75"/>
    <w:rsid w:val="00A96F8B"/>
    <w:rsid w:val="00A97EBF"/>
    <w:rsid w:val="00AA04F9"/>
    <w:rsid w:val="00AA19CD"/>
    <w:rsid w:val="00AA222F"/>
    <w:rsid w:val="00AA41EB"/>
    <w:rsid w:val="00AB3A69"/>
    <w:rsid w:val="00AB3C85"/>
    <w:rsid w:val="00AB56FB"/>
    <w:rsid w:val="00AB5F91"/>
    <w:rsid w:val="00AB6EB6"/>
    <w:rsid w:val="00AC301A"/>
    <w:rsid w:val="00AC3246"/>
    <w:rsid w:val="00AC55EC"/>
    <w:rsid w:val="00AC611F"/>
    <w:rsid w:val="00AC6B73"/>
    <w:rsid w:val="00AC6F08"/>
    <w:rsid w:val="00AD192B"/>
    <w:rsid w:val="00AD2FC6"/>
    <w:rsid w:val="00AD6FA5"/>
    <w:rsid w:val="00AD7006"/>
    <w:rsid w:val="00AD7780"/>
    <w:rsid w:val="00AE043D"/>
    <w:rsid w:val="00AE0A4F"/>
    <w:rsid w:val="00AE32A1"/>
    <w:rsid w:val="00AE4129"/>
    <w:rsid w:val="00AE481A"/>
    <w:rsid w:val="00AE529B"/>
    <w:rsid w:val="00AE5615"/>
    <w:rsid w:val="00AE6208"/>
    <w:rsid w:val="00AE633A"/>
    <w:rsid w:val="00AE6ECD"/>
    <w:rsid w:val="00AF02AD"/>
    <w:rsid w:val="00AF1272"/>
    <w:rsid w:val="00AF41FC"/>
    <w:rsid w:val="00AF5693"/>
    <w:rsid w:val="00AF7313"/>
    <w:rsid w:val="00B02230"/>
    <w:rsid w:val="00B03E5F"/>
    <w:rsid w:val="00B05431"/>
    <w:rsid w:val="00B06E7A"/>
    <w:rsid w:val="00B10BF7"/>
    <w:rsid w:val="00B129D6"/>
    <w:rsid w:val="00B13007"/>
    <w:rsid w:val="00B1377B"/>
    <w:rsid w:val="00B154C8"/>
    <w:rsid w:val="00B1593C"/>
    <w:rsid w:val="00B168D9"/>
    <w:rsid w:val="00B20381"/>
    <w:rsid w:val="00B21AC2"/>
    <w:rsid w:val="00B2295E"/>
    <w:rsid w:val="00B229A6"/>
    <w:rsid w:val="00B22E38"/>
    <w:rsid w:val="00B248BE"/>
    <w:rsid w:val="00B26143"/>
    <w:rsid w:val="00B26B85"/>
    <w:rsid w:val="00B27556"/>
    <w:rsid w:val="00B305EA"/>
    <w:rsid w:val="00B30CF8"/>
    <w:rsid w:val="00B31D84"/>
    <w:rsid w:val="00B337BB"/>
    <w:rsid w:val="00B342E1"/>
    <w:rsid w:val="00B34525"/>
    <w:rsid w:val="00B34A5D"/>
    <w:rsid w:val="00B36583"/>
    <w:rsid w:val="00B36A24"/>
    <w:rsid w:val="00B372DE"/>
    <w:rsid w:val="00B37B77"/>
    <w:rsid w:val="00B41B24"/>
    <w:rsid w:val="00B4292D"/>
    <w:rsid w:val="00B42C50"/>
    <w:rsid w:val="00B42D14"/>
    <w:rsid w:val="00B44CEE"/>
    <w:rsid w:val="00B46200"/>
    <w:rsid w:val="00B507D5"/>
    <w:rsid w:val="00B50EAD"/>
    <w:rsid w:val="00B5332C"/>
    <w:rsid w:val="00B5583D"/>
    <w:rsid w:val="00B57119"/>
    <w:rsid w:val="00B5769F"/>
    <w:rsid w:val="00B6386A"/>
    <w:rsid w:val="00B64DE9"/>
    <w:rsid w:val="00B67CB4"/>
    <w:rsid w:val="00B70F40"/>
    <w:rsid w:val="00B71560"/>
    <w:rsid w:val="00B72C56"/>
    <w:rsid w:val="00B7362A"/>
    <w:rsid w:val="00B74636"/>
    <w:rsid w:val="00B757D3"/>
    <w:rsid w:val="00B7599E"/>
    <w:rsid w:val="00B760EF"/>
    <w:rsid w:val="00B80EDE"/>
    <w:rsid w:val="00B813F5"/>
    <w:rsid w:val="00B82030"/>
    <w:rsid w:val="00B83B5F"/>
    <w:rsid w:val="00B84254"/>
    <w:rsid w:val="00B84695"/>
    <w:rsid w:val="00B84FB0"/>
    <w:rsid w:val="00B859B8"/>
    <w:rsid w:val="00B8703A"/>
    <w:rsid w:val="00B87988"/>
    <w:rsid w:val="00B87A7E"/>
    <w:rsid w:val="00B87FB0"/>
    <w:rsid w:val="00B900E0"/>
    <w:rsid w:val="00B90574"/>
    <w:rsid w:val="00B90CBD"/>
    <w:rsid w:val="00B92A21"/>
    <w:rsid w:val="00B95029"/>
    <w:rsid w:val="00B9543F"/>
    <w:rsid w:val="00B9631D"/>
    <w:rsid w:val="00B97388"/>
    <w:rsid w:val="00BA1716"/>
    <w:rsid w:val="00BA1D2F"/>
    <w:rsid w:val="00BA3397"/>
    <w:rsid w:val="00BA33E3"/>
    <w:rsid w:val="00BA3AC4"/>
    <w:rsid w:val="00BA724C"/>
    <w:rsid w:val="00BA7DC3"/>
    <w:rsid w:val="00BB3BF0"/>
    <w:rsid w:val="00BB471C"/>
    <w:rsid w:val="00BB4732"/>
    <w:rsid w:val="00BB50AE"/>
    <w:rsid w:val="00BB5E07"/>
    <w:rsid w:val="00BB5F1A"/>
    <w:rsid w:val="00BB6415"/>
    <w:rsid w:val="00BB767C"/>
    <w:rsid w:val="00BC0465"/>
    <w:rsid w:val="00BC0F41"/>
    <w:rsid w:val="00BC153A"/>
    <w:rsid w:val="00BC1890"/>
    <w:rsid w:val="00BC5C4C"/>
    <w:rsid w:val="00BC6B83"/>
    <w:rsid w:val="00BC6DAD"/>
    <w:rsid w:val="00BD0836"/>
    <w:rsid w:val="00BD0B40"/>
    <w:rsid w:val="00BD2189"/>
    <w:rsid w:val="00BD40F4"/>
    <w:rsid w:val="00BD4AE5"/>
    <w:rsid w:val="00BD7565"/>
    <w:rsid w:val="00BE163D"/>
    <w:rsid w:val="00BE1876"/>
    <w:rsid w:val="00BE3E8B"/>
    <w:rsid w:val="00BE64AB"/>
    <w:rsid w:val="00BE6E43"/>
    <w:rsid w:val="00BE7D26"/>
    <w:rsid w:val="00BF3D62"/>
    <w:rsid w:val="00BF5678"/>
    <w:rsid w:val="00BF7684"/>
    <w:rsid w:val="00BF7E40"/>
    <w:rsid w:val="00BF7FC6"/>
    <w:rsid w:val="00C01CDD"/>
    <w:rsid w:val="00C01D06"/>
    <w:rsid w:val="00C01DA2"/>
    <w:rsid w:val="00C0539B"/>
    <w:rsid w:val="00C0738E"/>
    <w:rsid w:val="00C117A2"/>
    <w:rsid w:val="00C12DC5"/>
    <w:rsid w:val="00C172FC"/>
    <w:rsid w:val="00C20994"/>
    <w:rsid w:val="00C215E3"/>
    <w:rsid w:val="00C252E4"/>
    <w:rsid w:val="00C31A0D"/>
    <w:rsid w:val="00C326CD"/>
    <w:rsid w:val="00C339E4"/>
    <w:rsid w:val="00C348A2"/>
    <w:rsid w:val="00C34FB8"/>
    <w:rsid w:val="00C37429"/>
    <w:rsid w:val="00C37648"/>
    <w:rsid w:val="00C405D3"/>
    <w:rsid w:val="00C411E5"/>
    <w:rsid w:val="00C416A1"/>
    <w:rsid w:val="00C44205"/>
    <w:rsid w:val="00C45A12"/>
    <w:rsid w:val="00C46DC8"/>
    <w:rsid w:val="00C51D45"/>
    <w:rsid w:val="00C51F56"/>
    <w:rsid w:val="00C52099"/>
    <w:rsid w:val="00C53BA5"/>
    <w:rsid w:val="00C53E7F"/>
    <w:rsid w:val="00C53F5E"/>
    <w:rsid w:val="00C55530"/>
    <w:rsid w:val="00C56C4B"/>
    <w:rsid w:val="00C60BB5"/>
    <w:rsid w:val="00C61F95"/>
    <w:rsid w:val="00C62FBC"/>
    <w:rsid w:val="00C63D15"/>
    <w:rsid w:val="00C6441D"/>
    <w:rsid w:val="00C65FAA"/>
    <w:rsid w:val="00C6654A"/>
    <w:rsid w:val="00C665A2"/>
    <w:rsid w:val="00C6710B"/>
    <w:rsid w:val="00C720C6"/>
    <w:rsid w:val="00C72463"/>
    <w:rsid w:val="00C73823"/>
    <w:rsid w:val="00C75700"/>
    <w:rsid w:val="00C76F82"/>
    <w:rsid w:val="00C77B4B"/>
    <w:rsid w:val="00C77FD7"/>
    <w:rsid w:val="00C80AD9"/>
    <w:rsid w:val="00C81C08"/>
    <w:rsid w:val="00C81ECD"/>
    <w:rsid w:val="00C83A10"/>
    <w:rsid w:val="00C84EF2"/>
    <w:rsid w:val="00C8597D"/>
    <w:rsid w:val="00C867DB"/>
    <w:rsid w:val="00C91260"/>
    <w:rsid w:val="00C91C80"/>
    <w:rsid w:val="00C92B04"/>
    <w:rsid w:val="00C93302"/>
    <w:rsid w:val="00C943A8"/>
    <w:rsid w:val="00C94D81"/>
    <w:rsid w:val="00C96273"/>
    <w:rsid w:val="00C966E5"/>
    <w:rsid w:val="00C969A0"/>
    <w:rsid w:val="00C972AE"/>
    <w:rsid w:val="00C97D01"/>
    <w:rsid w:val="00CA53BC"/>
    <w:rsid w:val="00CA6BC3"/>
    <w:rsid w:val="00CB4574"/>
    <w:rsid w:val="00CB45F1"/>
    <w:rsid w:val="00CB4EE2"/>
    <w:rsid w:val="00CB53CC"/>
    <w:rsid w:val="00CB7CF6"/>
    <w:rsid w:val="00CC0515"/>
    <w:rsid w:val="00CC0827"/>
    <w:rsid w:val="00CC1596"/>
    <w:rsid w:val="00CC1EDA"/>
    <w:rsid w:val="00CC218A"/>
    <w:rsid w:val="00CC3939"/>
    <w:rsid w:val="00CC4394"/>
    <w:rsid w:val="00CC44AE"/>
    <w:rsid w:val="00CC68F4"/>
    <w:rsid w:val="00CD0A3C"/>
    <w:rsid w:val="00CD3B82"/>
    <w:rsid w:val="00CD413D"/>
    <w:rsid w:val="00CD471E"/>
    <w:rsid w:val="00CD7A14"/>
    <w:rsid w:val="00CE05FA"/>
    <w:rsid w:val="00CE0DE4"/>
    <w:rsid w:val="00CE1EA5"/>
    <w:rsid w:val="00CE2FCF"/>
    <w:rsid w:val="00CE318F"/>
    <w:rsid w:val="00CE7566"/>
    <w:rsid w:val="00CF0B21"/>
    <w:rsid w:val="00CF1A4E"/>
    <w:rsid w:val="00CF36D8"/>
    <w:rsid w:val="00CF4D66"/>
    <w:rsid w:val="00CF52E3"/>
    <w:rsid w:val="00CF79F9"/>
    <w:rsid w:val="00D0033D"/>
    <w:rsid w:val="00D00885"/>
    <w:rsid w:val="00D00978"/>
    <w:rsid w:val="00D00BE4"/>
    <w:rsid w:val="00D02560"/>
    <w:rsid w:val="00D02DCF"/>
    <w:rsid w:val="00D02EE3"/>
    <w:rsid w:val="00D04523"/>
    <w:rsid w:val="00D04A25"/>
    <w:rsid w:val="00D06D47"/>
    <w:rsid w:val="00D12645"/>
    <w:rsid w:val="00D14D31"/>
    <w:rsid w:val="00D155CF"/>
    <w:rsid w:val="00D16E71"/>
    <w:rsid w:val="00D16FBE"/>
    <w:rsid w:val="00D170E0"/>
    <w:rsid w:val="00D202ED"/>
    <w:rsid w:val="00D22503"/>
    <w:rsid w:val="00D23291"/>
    <w:rsid w:val="00D246B2"/>
    <w:rsid w:val="00D30ACE"/>
    <w:rsid w:val="00D310ED"/>
    <w:rsid w:val="00D338D3"/>
    <w:rsid w:val="00D33F03"/>
    <w:rsid w:val="00D35B70"/>
    <w:rsid w:val="00D365C0"/>
    <w:rsid w:val="00D3797C"/>
    <w:rsid w:val="00D42D0E"/>
    <w:rsid w:val="00D44345"/>
    <w:rsid w:val="00D445DC"/>
    <w:rsid w:val="00D44904"/>
    <w:rsid w:val="00D45287"/>
    <w:rsid w:val="00D4573D"/>
    <w:rsid w:val="00D461AE"/>
    <w:rsid w:val="00D46EEB"/>
    <w:rsid w:val="00D475F2"/>
    <w:rsid w:val="00D50390"/>
    <w:rsid w:val="00D5094C"/>
    <w:rsid w:val="00D50D1E"/>
    <w:rsid w:val="00D519FF"/>
    <w:rsid w:val="00D523FF"/>
    <w:rsid w:val="00D526A2"/>
    <w:rsid w:val="00D5274E"/>
    <w:rsid w:val="00D537A9"/>
    <w:rsid w:val="00D53AF5"/>
    <w:rsid w:val="00D547AC"/>
    <w:rsid w:val="00D557A0"/>
    <w:rsid w:val="00D5740C"/>
    <w:rsid w:val="00D60032"/>
    <w:rsid w:val="00D60A82"/>
    <w:rsid w:val="00D61169"/>
    <w:rsid w:val="00D61C45"/>
    <w:rsid w:val="00D62959"/>
    <w:rsid w:val="00D6361C"/>
    <w:rsid w:val="00D649EC"/>
    <w:rsid w:val="00D653AF"/>
    <w:rsid w:val="00D66399"/>
    <w:rsid w:val="00D664D5"/>
    <w:rsid w:val="00D66BAE"/>
    <w:rsid w:val="00D66C0A"/>
    <w:rsid w:val="00D66D77"/>
    <w:rsid w:val="00D66E2F"/>
    <w:rsid w:val="00D674F4"/>
    <w:rsid w:val="00D67DDD"/>
    <w:rsid w:val="00D702BE"/>
    <w:rsid w:val="00D72234"/>
    <w:rsid w:val="00D745C3"/>
    <w:rsid w:val="00D774CE"/>
    <w:rsid w:val="00D82C11"/>
    <w:rsid w:val="00D85C6B"/>
    <w:rsid w:val="00D86CE9"/>
    <w:rsid w:val="00D86CF6"/>
    <w:rsid w:val="00D8724F"/>
    <w:rsid w:val="00D9030B"/>
    <w:rsid w:val="00D90CAD"/>
    <w:rsid w:val="00D912E5"/>
    <w:rsid w:val="00D92A5C"/>
    <w:rsid w:val="00D94314"/>
    <w:rsid w:val="00D944F3"/>
    <w:rsid w:val="00D94853"/>
    <w:rsid w:val="00D95FA8"/>
    <w:rsid w:val="00D97782"/>
    <w:rsid w:val="00D977F7"/>
    <w:rsid w:val="00D978E0"/>
    <w:rsid w:val="00DA2236"/>
    <w:rsid w:val="00DA2485"/>
    <w:rsid w:val="00DA27C7"/>
    <w:rsid w:val="00DA3338"/>
    <w:rsid w:val="00DA4D00"/>
    <w:rsid w:val="00DB0129"/>
    <w:rsid w:val="00DB2A19"/>
    <w:rsid w:val="00DB307A"/>
    <w:rsid w:val="00DB4DA3"/>
    <w:rsid w:val="00DC1FAD"/>
    <w:rsid w:val="00DC20F9"/>
    <w:rsid w:val="00DC2E31"/>
    <w:rsid w:val="00DC3E29"/>
    <w:rsid w:val="00DC56ED"/>
    <w:rsid w:val="00DC7F24"/>
    <w:rsid w:val="00DD0A49"/>
    <w:rsid w:val="00DD79B1"/>
    <w:rsid w:val="00DD7A50"/>
    <w:rsid w:val="00DE28C4"/>
    <w:rsid w:val="00DE29A8"/>
    <w:rsid w:val="00DE2D21"/>
    <w:rsid w:val="00DE4937"/>
    <w:rsid w:val="00DE7A57"/>
    <w:rsid w:val="00DF039D"/>
    <w:rsid w:val="00DF0957"/>
    <w:rsid w:val="00DF11C5"/>
    <w:rsid w:val="00DF1747"/>
    <w:rsid w:val="00DF2031"/>
    <w:rsid w:val="00DF3246"/>
    <w:rsid w:val="00DF43EA"/>
    <w:rsid w:val="00DF5FB1"/>
    <w:rsid w:val="00DF781B"/>
    <w:rsid w:val="00E009F3"/>
    <w:rsid w:val="00E01C09"/>
    <w:rsid w:val="00E023CC"/>
    <w:rsid w:val="00E029B0"/>
    <w:rsid w:val="00E039CB"/>
    <w:rsid w:val="00E0432C"/>
    <w:rsid w:val="00E04FD8"/>
    <w:rsid w:val="00E06491"/>
    <w:rsid w:val="00E0678D"/>
    <w:rsid w:val="00E079A1"/>
    <w:rsid w:val="00E07B26"/>
    <w:rsid w:val="00E07F21"/>
    <w:rsid w:val="00E10224"/>
    <w:rsid w:val="00E1175F"/>
    <w:rsid w:val="00E12DE1"/>
    <w:rsid w:val="00E13470"/>
    <w:rsid w:val="00E13C71"/>
    <w:rsid w:val="00E16DAB"/>
    <w:rsid w:val="00E16F0F"/>
    <w:rsid w:val="00E171C6"/>
    <w:rsid w:val="00E2006D"/>
    <w:rsid w:val="00E20762"/>
    <w:rsid w:val="00E2085B"/>
    <w:rsid w:val="00E220B9"/>
    <w:rsid w:val="00E23296"/>
    <w:rsid w:val="00E25815"/>
    <w:rsid w:val="00E33021"/>
    <w:rsid w:val="00E33342"/>
    <w:rsid w:val="00E3344C"/>
    <w:rsid w:val="00E34746"/>
    <w:rsid w:val="00E35CC1"/>
    <w:rsid w:val="00E36630"/>
    <w:rsid w:val="00E40E02"/>
    <w:rsid w:val="00E412A0"/>
    <w:rsid w:val="00E42B06"/>
    <w:rsid w:val="00E51580"/>
    <w:rsid w:val="00E54209"/>
    <w:rsid w:val="00E543F8"/>
    <w:rsid w:val="00E54AC6"/>
    <w:rsid w:val="00E55536"/>
    <w:rsid w:val="00E55DD8"/>
    <w:rsid w:val="00E56F6C"/>
    <w:rsid w:val="00E57F4D"/>
    <w:rsid w:val="00E57FDC"/>
    <w:rsid w:val="00E62037"/>
    <w:rsid w:val="00E63D23"/>
    <w:rsid w:val="00E63EC6"/>
    <w:rsid w:val="00E65A5A"/>
    <w:rsid w:val="00E6719F"/>
    <w:rsid w:val="00E7169C"/>
    <w:rsid w:val="00E757E9"/>
    <w:rsid w:val="00E7593F"/>
    <w:rsid w:val="00E75E2F"/>
    <w:rsid w:val="00E77528"/>
    <w:rsid w:val="00E77F8A"/>
    <w:rsid w:val="00E80351"/>
    <w:rsid w:val="00E80CBF"/>
    <w:rsid w:val="00E8250C"/>
    <w:rsid w:val="00E829CB"/>
    <w:rsid w:val="00E841B6"/>
    <w:rsid w:val="00E8554D"/>
    <w:rsid w:val="00E856A9"/>
    <w:rsid w:val="00E859F8"/>
    <w:rsid w:val="00E873A0"/>
    <w:rsid w:val="00E87C9B"/>
    <w:rsid w:val="00E91252"/>
    <w:rsid w:val="00E91AC5"/>
    <w:rsid w:val="00E93090"/>
    <w:rsid w:val="00E93137"/>
    <w:rsid w:val="00E93C6D"/>
    <w:rsid w:val="00E94864"/>
    <w:rsid w:val="00EA2BCA"/>
    <w:rsid w:val="00EA49FA"/>
    <w:rsid w:val="00EA7E56"/>
    <w:rsid w:val="00EB0C4B"/>
    <w:rsid w:val="00EB1F77"/>
    <w:rsid w:val="00EB473D"/>
    <w:rsid w:val="00EB5FC7"/>
    <w:rsid w:val="00EB6979"/>
    <w:rsid w:val="00EB75BA"/>
    <w:rsid w:val="00EB7854"/>
    <w:rsid w:val="00EC0F52"/>
    <w:rsid w:val="00EC1827"/>
    <w:rsid w:val="00EC1B43"/>
    <w:rsid w:val="00EC1E0A"/>
    <w:rsid w:val="00EC2243"/>
    <w:rsid w:val="00EC46D2"/>
    <w:rsid w:val="00EC4715"/>
    <w:rsid w:val="00EC63A7"/>
    <w:rsid w:val="00EC7484"/>
    <w:rsid w:val="00ED0D35"/>
    <w:rsid w:val="00ED1E20"/>
    <w:rsid w:val="00ED2FB9"/>
    <w:rsid w:val="00ED58FF"/>
    <w:rsid w:val="00ED70B4"/>
    <w:rsid w:val="00ED7538"/>
    <w:rsid w:val="00EE2DA4"/>
    <w:rsid w:val="00EE47C7"/>
    <w:rsid w:val="00EE4C19"/>
    <w:rsid w:val="00EF19BF"/>
    <w:rsid w:val="00EF23AC"/>
    <w:rsid w:val="00EF2AC2"/>
    <w:rsid w:val="00EF44A4"/>
    <w:rsid w:val="00EF65C0"/>
    <w:rsid w:val="00EF710B"/>
    <w:rsid w:val="00EF7534"/>
    <w:rsid w:val="00EF7649"/>
    <w:rsid w:val="00EF7B68"/>
    <w:rsid w:val="00F00C73"/>
    <w:rsid w:val="00F02256"/>
    <w:rsid w:val="00F037A4"/>
    <w:rsid w:val="00F0715F"/>
    <w:rsid w:val="00F071CD"/>
    <w:rsid w:val="00F127FE"/>
    <w:rsid w:val="00F13D04"/>
    <w:rsid w:val="00F14DB7"/>
    <w:rsid w:val="00F14F6E"/>
    <w:rsid w:val="00F17BAF"/>
    <w:rsid w:val="00F2052F"/>
    <w:rsid w:val="00F234C2"/>
    <w:rsid w:val="00F235FC"/>
    <w:rsid w:val="00F23B0C"/>
    <w:rsid w:val="00F242DB"/>
    <w:rsid w:val="00F24866"/>
    <w:rsid w:val="00F25497"/>
    <w:rsid w:val="00F25BC8"/>
    <w:rsid w:val="00F30258"/>
    <w:rsid w:val="00F30573"/>
    <w:rsid w:val="00F30AF9"/>
    <w:rsid w:val="00F30AFD"/>
    <w:rsid w:val="00F31783"/>
    <w:rsid w:val="00F31C34"/>
    <w:rsid w:val="00F36664"/>
    <w:rsid w:val="00F407D9"/>
    <w:rsid w:val="00F41844"/>
    <w:rsid w:val="00F41E24"/>
    <w:rsid w:val="00F42568"/>
    <w:rsid w:val="00F4347F"/>
    <w:rsid w:val="00F47A5A"/>
    <w:rsid w:val="00F504AD"/>
    <w:rsid w:val="00F52B0C"/>
    <w:rsid w:val="00F531D1"/>
    <w:rsid w:val="00F53E30"/>
    <w:rsid w:val="00F55358"/>
    <w:rsid w:val="00F577CB"/>
    <w:rsid w:val="00F6030D"/>
    <w:rsid w:val="00F60526"/>
    <w:rsid w:val="00F610A4"/>
    <w:rsid w:val="00F6117C"/>
    <w:rsid w:val="00F6130E"/>
    <w:rsid w:val="00F62E17"/>
    <w:rsid w:val="00F63241"/>
    <w:rsid w:val="00F63820"/>
    <w:rsid w:val="00F64930"/>
    <w:rsid w:val="00F65C61"/>
    <w:rsid w:val="00F65F97"/>
    <w:rsid w:val="00F66421"/>
    <w:rsid w:val="00F6670C"/>
    <w:rsid w:val="00F6757E"/>
    <w:rsid w:val="00F75123"/>
    <w:rsid w:val="00F755BC"/>
    <w:rsid w:val="00F75D8F"/>
    <w:rsid w:val="00F76818"/>
    <w:rsid w:val="00F779CE"/>
    <w:rsid w:val="00F80464"/>
    <w:rsid w:val="00F83439"/>
    <w:rsid w:val="00F83B6B"/>
    <w:rsid w:val="00F83E5A"/>
    <w:rsid w:val="00F847C6"/>
    <w:rsid w:val="00F85D45"/>
    <w:rsid w:val="00F874E1"/>
    <w:rsid w:val="00F87CC2"/>
    <w:rsid w:val="00F90B81"/>
    <w:rsid w:val="00F912E2"/>
    <w:rsid w:val="00F93BB0"/>
    <w:rsid w:val="00F948D3"/>
    <w:rsid w:val="00F95983"/>
    <w:rsid w:val="00F95E72"/>
    <w:rsid w:val="00F96F2A"/>
    <w:rsid w:val="00F97619"/>
    <w:rsid w:val="00F97818"/>
    <w:rsid w:val="00FA1933"/>
    <w:rsid w:val="00FA2A85"/>
    <w:rsid w:val="00FA2F24"/>
    <w:rsid w:val="00FA4AFB"/>
    <w:rsid w:val="00FA73BD"/>
    <w:rsid w:val="00FB0EBD"/>
    <w:rsid w:val="00FB27E2"/>
    <w:rsid w:val="00FB2D03"/>
    <w:rsid w:val="00FB3A6A"/>
    <w:rsid w:val="00FB44BC"/>
    <w:rsid w:val="00FB4F69"/>
    <w:rsid w:val="00FB5059"/>
    <w:rsid w:val="00FB66DA"/>
    <w:rsid w:val="00FB73F4"/>
    <w:rsid w:val="00FB7438"/>
    <w:rsid w:val="00FB784C"/>
    <w:rsid w:val="00FC1404"/>
    <w:rsid w:val="00FC2776"/>
    <w:rsid w:val="00FC29F5"/>
    <w:rsid w:val="00FC3252"/>
    <w:rsid w:val="00FC3D41"/>
    <w:rsid w:val="00FC460A"/>
    <w:rsid w:val="00FC532D"/>
    <w:rsid w:val="00FC7638"/>
    <w:rsid w:val="00FC7F59"/>
    <w:rsid w:val="00FD0FA7"/>
    <w:rsid w:val="00FD1160"/>
    <w:rsid w:val="00FD1350"/>
    <w:rsid w:val="00FD3D7B"/>
    <w:rsid w:val="00FD61DC"/>
    <w:rsid w:val="00FE0C5C"/>
    <w:rsid w:val="00FE21DA"/>
    <w:rsid w:val="00FE25DE"/>
    <w:rsid w:val="00FE2C1B"/>
    <w:rsid w:val="00FE37C0"/>
    <w:rsid w:val="00FE3E44"/>
    <w:rsid w:val="00FF1DE6"/>
    <w:rsid w:val="00FF56E6"/>
    <w:rsid w:val="00FF5879"/>
    <w:rsid w:val="00FF5CD6"/>
    <w:rsid w:val="00FF5E86"/>
    <w:rsid w:val="01392DD6"/>
    <w:rsid w:val="035E4FDE"/>
    <w:rsid w:val="038738F0"/>
    <w:rsid w:val="04BC64D3"/>
    <w:rsid w:val="04E57D77"/>
    <w:rsid w:val="04EC1F51"/>
    <w:rsid w:val="05804EA7"/>
    <w:rsid w:val="05BD0B14"/>
    <w:rsid w:val="061D26E5"/>
    <w:rsid w:val="06BD72C1"/>
    <w:rsid w:val="073B2EC9"/>
    <w:rsid w:val="08731359"/>
    <w:rsid w:val="09C32C91"/>
    <w:rsid w:val="09FD5985"/>
    <w:rsid w:val="0B752A15"/>
    <w:rsid w:val="0BE7744D"/>
    <w:rsid w:val="0CA4052B"/>
    <w:rsid w:val="0D015A4B"/>
    <w:rsid w:val="0DA709F5"/>
    <w:rsid w:val="0DD203F7"/>
    <w:rsid w:val="0F0662DB"/>
    <w:rsid w:val="0F135AF3"/>
    <w:rsid w:val="0F4920A4"/>
    <w:rsid w:val="0F561672"/>
    <w:rsid w:val="0F715861"/>
    <w:rsid w:val="0F837D07"/>
    <w:rsid w:val="11F1037A"/>
    <w:rsid w:val="127F188E"/>
    <w:rsid w:val="13D739C8"/>
    <w:rsid w:val="14B3214A"/>
    <w:rsid w:val="150266E4"/>
    <w:rsid w:val="151B62D9"/>
    <w:rsid w:val="15222CC0"/>
    <w:rsid w:val="15E020F0"/>
    <w:rsid w:val="17150A1D"/>
    <w:rsid w:val="176639F5"/>
    <w:rsid w:val="187017B5"/>
    <w:rsid w:val="19AF0E0D"/>
    <w:rsid w:val="19D31601"/>
    <w:rsid w:val="1B9A3386"/>
    <w:rsid w:val="1C89083A"/>
    <w:rsid w:val="1CD56293"/>
    <w:rsid w:val="1DAF1130"/>
    <w:rsid w:val="1F4E2B40"/>
    <w:rsid w:val="202857CF"/>
    <w:rsid w:val="213F6144"/>
    <w:rsid w:val="21DF58C4"/>
    <w:rsid w:val="245C6F02"/>
    <w:rsid w:val="248C0D2C"/>
    <w:rsid w:val="24CD4670"/>
    <w:rsid w:val="254337F1"/>
    <w:rsid w:val="256C5307"/>
    <w:rsid w:val="25803328"/>
    <w:rsid w:val="263D76AD"/>
    <w:rsid w:val="26855A20"/>
    <w:rsid w:val="28494951"/>
    <w:rsid w:val="28C56475"/>
    <w:rsid w:val="28CA7A9E"/>
    <w:rsid w:val="2B36121D"/>
    <w:rsid w:val="2D882A39"/>
    <w:rsid w:val="2DA0331D"/>
    <w:rsid w:val="2DE7275E"/>
    <w:rsid w:val="2FF5408B"/>
    <w:rsid w:val="303D4038"/>
    <w:rsid w:val="307D5C1A"/>
    <w:rsid w:val="30C049B8"/>
    <w:rsid w:val="312629FE"/>
    <w:rsid w:val="31716316"/>
    <w:rsid w:val="31B41E2E"/>
    <w:rsid w:val="32460554"/>
    <w:rsid w:val="32A80E7A"/>
    <w:rsid w:val="32E64B57"/>
    <w:rsid w:val="33DC69D5"/>
    <w:rsid w:val="341C276A"/>
    <w:rsid w:val="35E371E4"/>
    <w:rsid w:val="364904D9"/>
    <w:rsid w:val="36D2347F"/>
    <w:rsid w:val="37BF303D"/>
    <w:rsid w:val="37D829C1"/>
    <w:rsid w:val="395771DC"/>
    <w:rsid w:val="396250E9"/>
    <w:rsid w:val="39BA3816"/>
    <w:rsid w:val="3B3E1263"/>
    <w:rsid w:val="3B4F44A6"/>
    <w:rsid w:val="3B9D0944"/>
    <w:rsid w:val="3BF90BA5"/>
    <w:rsid w:val="3D270838"/>
    <w:rsid w:val="3D3B62DC"/>
    <w:rsid w:val="3E096A5B"/>
    <w:rsid w:val="3E6459E5"/>
    <w:rsid w:val="3E6A52D9"/>
    <w:rsid w:val="3F6E609F"/>
    <w:rsid w:val="408A19C1"/>
    <w:rsid w:val="42184AB8"/>
    <w:rsid w:val="42C205C6"/>
    <w:rsid w:val="43A135C0"/>
    <w:rsid w:val="44745D33"/>
    <w:rsid w:val="45D163C4"/>
    <w:rsid w:val="46AD66A6"/>
    <w:rsid w:val="47D22C5D"/>
    <w:rsid w:val="48663E09"/>
    <w:rsid w:val="486B1C7E"/>
    <w:rsid w:val="492123DD"/>
    <w:rsid w:val="492B2394"/>
    <w:rsid w:val="49922A2B"/>
    <w:rsid w:val="4A3775E6"/>
    <w:rsid w:val="4B0C3D01"/>
    <w:rsid w:val="4B6C5868"/>
    <w:rsid w:val="4BBD537C"/>
    <w:rsid w:val="4D076004"/>
    <w:rsid w:val="4D125FBC"/>
    <w:rsid w:val="4D2C7595"/>
    <w:rsid w:val="4D89604D"/>
    <w:rsid w:val="4F946E7B"/>
    <w:rsid w:val="52070445"/>
    <w:rsid w:val="52372B82"/>
    <w:rsid w:val="528C1D58"/>
    <w:rsid w:val="5418423F"/>
    <w:rsid w:val="559756AC"/>
    <w:rsid w:val="574F77AB"/>
    <w:rsid w:val="576C1169"/>
    <w:rsid w:val="57D873DF"/>
    <w:rsid w:val="58C31E14"/>
    <w:rsid w:val="58E514CC"/>
    <w:rsid w:val="590C10CF"/>
    <w:rsid w:val="59FC3278"/>
    <w:rsid w:val="5C653A62"/>
    <w:rsid w:val="5C7F58FB"/>
    <w:rsid w:val="5D0C64E7"/>
    <w:rsid w:val="5D3E25B6"/>
    <w:rsid w:val="5D47446D"/>
    <w:rsid w:val="5D922F72"/>
    <w:rsid w:val="5E887E0A"/>
    <w:rsid w:val="5ECF5AB0"/>
    <w:rsid w:val="5F5B5071"/>
    <w:rsid w:val="5FDA6F26"/>
    <w:rsid w:val="5FF067F2"/>
    <w:rsid w:val="6040014F"/>
    <w:rsid w:val="607C7DEE"/>
    <w:rsid w:val="60CC7C03"/>
    <w:rsid w:val="61075843"/>
    <w:rsid w:val="61C028CA"/>
    <w:rsid w:val="63592708"/>
    <w:rsid w:val="63A64EAD"/>
    <w:rsid w:val="63F07FF6"/>
    <w:rsid w:val="67F924D1"/>
    <w:rsid w:val="68912C1B"/>
    <w:rsid w:val="6A06437E"/>
    <w:rsid w:val="6BC97FFD"/>
    <w:rsid w:val="6CE23DC7"/>
    <w:rsid w:val="6D217922"/>
    <w:rsid w:val="6EA01AC8"/>
    <w:rsid w:val="6FFB3A29"/>
    <w:rsid w:val="703F4E81"/>
    <w:rsid w:val="70AE36E4"/>
    <w:rsid w:val="71F92C79"/>
    <w:rsid w:val="728005B7"/>
    <w:rsid w:val="72834132"/>
    <w:rsid w:val="728508E4"/>
    <w:rsid w:val="730B4EF7"/>
    <w:rsid w:val="735008A6"/>
    <w:rsid w:val="73C61C3A"/>
    <w:rsid w:val="74224EE4"/>
    <w:rsid w:val="742D2056"/>
    <w:rsid w:val="74C43E5E"/>
    <w:rsid w:val="758834C9"/>
    <w:rsid w:val="75DC1AF4"/>
    <w:rsid w:val="76AD6AD2"/>
    <w:rsid w:val="77282A2E"/>
    <w:rsid w:val="772E2897"/>
    <w:rsid w:val="777358F4"/>
    <w:rsid w:val="77A7332F"/>
    <w:rsid w:val="77B2394E"/>
    <w:rsid w:val="794F1A80"/>
    <w:rsid w:val="7A9D6F56"/>
    <w:rsid w:val="7AF337EF"/>
    <w:rsid w:val="7B78332C"/>
    <w:rsid w:val="7F16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qFormat="1" w:uiPriority="0" w:name="HTML Cite"/>
    <w:lsdException w:qFormat="1" w:uiPriority="0" w:name="HTML Code"/>
    <w:lsdException w:qFormat="1" w:unhideWhenUsed="0"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35"/>
    <w:qFormat/>
    <w:uiPriority w:val="0"/>
    <w:pPr>
      <w:keepNext/>
      <w:keepLines/>
      <w:spacing w:before="120" w:after="120"/>
      <w:jc w:val="center"/>
      <w:outlineLvl w:val="0"/>
    </w:pPr>
    <w:rPr>
      <w:rFonts w:eastAsia="黑体"/>
      <w:b/>
      <w:kern w:val="44"/>
      <w:sz w:val="44"/>
      <w:szCs w:val="20"/>
    </w:rPr>
  </w:style>
  <w:style w:type="paragraph" w:styleId="4">
    <w:name w:val="heading 2"/>
    <w:basedOn w:val="1"/>
    <w:next w:val="1"/>
    <w:link w:val="243"/>
    <w:qFormat/>
    <w:uiPriority w:val="0"/>
    <w:pPr>
      <w:keepNext/>
      <w:keepLines/>
      <w:spacing w:before="120" w:after="120"/>
      <w:ind w:firstLine="0" w:firstLineChars="0"/>
      <w:outlineLvl w:val="1"/>
    </w:pPr>
    <w:rPr>
      <w:rFonts w:ascii="Arial" w:hAnsi="Arial" w:eastAsia="黑体"/>
      <w:b/>
      <w:sz w:val="32"/>
      <w:szCs w:val="20"/>
    </w:rPr>
  </w:style>
  <w:style w:type="paragraph" w:styleId="5">
    <w:name w:val="heading 3"/>
    <w:basedOn w:val="1"/>
    <w:next w:val="1"/>
    <w:link w:val="114"/>
    <w:qFormat/>
    <w:uiPriority w:val="0"/>
    <w:pPr>
      <w:keepNext/>
      <w:keepLines/>
      <w:spacing w:before="120" w:after="120"/>
      <w:ind w:firstLine="0" w:firstLineChars="0"/>
      <w:outlineLvl w:val="2"/>
    </w:pPr>
    <w:rPr>
      <w:b/>
      <w:szCs w:val="20"/>
    </w:rPr>
  </w:style>
  <w:style w:type="paragraph" w:styleId="6">
    <w:name w:val="heading 4"/>
    <w:basedOn w:val="1"/>
    <w:next w:val="7"/>
    <w:link w:val="216"/>
    <w:qFormat/>
    <w:uiPriority w:val="0"/>
    <w:pPr>
      <w:keepNext/>
      <w:keepLines/>
      <w:tabs>
        <w:tab w:val="left" w:pos="1006"/>
      </w:tabs>
      <w:spacing w:before="156" w:after="156"/>
      <w:ind w:left="1680" w:hanging="1006"/>
      <w:jc w:val="left"/>
      <w:outlineLvl w:val="3"/>
    </w:pPr>
    <w:rPr>
      <w:rFonts w:ascii="Arial" w:hAnsi="Arial" w:eastAsia="黑体"/>
      <w:b/>
      <w:sz w:val="28"/>
      <w:szCs w:val="20"/>
    </w:rPr>
  </w:style>
  <w:style w:type="paragraph" w:styleId="8">
    <w:name w:val="heading 5"/>
    <w:basedOn w:val="1"/>
    <w:next w:val="7"/>
    <w:link w:val="180"/>
    <w:qFormat/>
    <w:uiPriority w:val="0"/>
    <w:pPr>
      <w:keepNext/>
      <w:keepLines/>
      <w:tabs>
        <w:tab w:val="left" w:pos="1008"/>
      </w:tabs>
      <w:spacing w:before="280" w:after="290" w:line="376" w:lineRule="auto"/>
      <w:ind w:left="2100" w:hanging="420"/>
      <w:outlineLvl w:val="4"/>
    </w:pPr>
    <w:rPr>
      <w:b/>
      <w:sz w:val="28"/>
      <w:szCs w:val="20"/>
    </w:rPr>
  </w:style>
  <w:style w:type="paragraph" w:styleId="9">
    <w:name w:val="heading 6"/>
    <w:basedOn w:val="1"/>
    <w:next w:val="1"/>
    <w:link w:val="232"/>
    <w:qFormat/>
    <w:uiPriority w:val="0"/>
    <w:pPr>
      <w:keepNext/>
      <w:keepLines/>
      <w:tabs>
        <w:tab w:val="left" w:pos="1152"/>
        <w:tab w:val="left" w:pos="1440"/>
      </w:tabs>
      <w:adjustRightInd w:val="0"/>
      <w:spacing w:before="240" w:after="64" w:line="319" w:lineRule="auto"/>
      <w:ind w:left="2520" w:hanging="420"/>
      <w:jc w:val="left"/>
      <w:outlineLvl w:val="5"/>
    </w:pPr>
    <w:rPr>
      <w:rFonts w:ascii="Arial" w:hAnsi="Arial" w:eastAsia="黑体"/>
      <w:b/>
      <w:szCs w:val="20"/>
    </w:rPr>
  </w:style>
  <w:style w:type="paragraph" w:styleId="10">
    <w:name w:val="heading 7"/>
    <w:basedOn w:val="1"/>
    <w:next w:val="1"/>
    <w:link w:val="107"/>
    <w:qFormat/>
    <w:uiPriority w:val="0"/>
    <w:pPr>
      <w:keepNext/>
      <w:keepLines/>
      <w:tabs>
        <w:tab w:val="left" w:pos="1296"/>
      </w:tabs>
      <w:spacing w:before="240" w:after="64" w:line="320" w:lineRule="auto"/>
      <w:ind w:left="2940" w:hanging="420"/>
      <w:outlineLvl w:val="6"/>
    </w:pPr>
    <w:rPr>
      <w:b/>
      <w:szCs w:val="20"/>
    </w:rPr>
  </w:style>
  <w:style w:type="paragraph" w:styleId="11">
    <w:name w:val="heading 8"/>
    <w:basedOn w:val="1"/>
    <w:next w:val="1"/>
    <w:link w:val="113"/>
    <w:qFormat/>
    <w:uiPriority w:val="0"/>
    <w:pPr>
      <w:keepNext/>
      <w:keepLines/>
      <w:tabs>
        <w:tab w:val="left" w:pos="1440"/>
      </w:tabs>
      <w:spacing w:before="240" w:after="64" w:line="320" w:lineRule="auto"/>
      <w:ind w:left="3360" w:hanging="420"/>
      <w:outlineLvl w:val="7"/>
    </w:pPr>
    <w:rPr>
      <w:rFonts w:ascii="Arial" w:hAnsi="Arial" w:eastAsia="黑体"/>
      <w:szCs w:val="20"/>
    </w:rPr>
  </w:style>
  <w:style w:type="paragraph" w:styleId="12">
    <w:name w:val="heading 9"/>
    <w:basedOn w:val="1"/>
    <w:next w:val="1"/>
    <w:link w:val="125"/>
    <w:qFormat/>
    <w:uiPriority w:val="0"/>
    <w:pPr>
      <w:keepNext/>
      <w:keepLines/>
      <w:tabs>
        <w:tab w:val="left" w:pos="1584"/>
      </w:tabs>
      <w:spacing w:before="240" w:after="64" w:line="320" w:lineRule="auto"/>
      <w:ind w:left="3780" w:hanging="420"/>
      <w:outlineLvl w:val="8"/>
    </w:pPr>
    <w:rPr>
      <w:rFonts w:ascii="Arial" w:hAnsi="Arial" w:eastAsia="黑体"/>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7">
    <w:name w:val="标准文本"/>
    <w:basedOn w:val="1"/>
    <w:link w:val="108"/>
    <w:qFormat/>
    <w:uiPriority w:val="0"/>
    <w:pPr>
      <w:ind w:firstLine="48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2520" w:leftChars="1200"/>
    </w:pPr>
    <w:rPr>
      <w:rFonts w:ascii="Calibri" w:hAnsi="Calibri"/>
      <w:szCs w:val="22"/>
    </w:rPr>
  </w:style>
  <w:style w:type="paragraph" w:styleId="15">
    <w:name w:val="List Number 2"/>
    <w:basedOn w:val="1"/>
    <w:qFormat/>
    <w:uiPriority w:val="0"/>
    <w:pPr>
      <w:tabs>
        <w:tab w:val="left" w:pos="780"/>
      </w:tabs>
      <w:ind w:left="643"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222"/>
    <w:qFormat/>
    <w:uiPriority w:val="0"/>
    <w:pPr>
      <w:jc w:val="center"/>
    </w:pPr>
    <w:rPr>
      <w:szCs w:val="20"/>
    </w:rPr>
  </w:style>
  <w:style w:type="paragraph" w:styleId="18">
    <w:name w:val="List Bullet 4"/>
    <w:basedOn w:val="1"/>
    <w:qFormat/>
    <w:uiPriority w:val="0"/>
    <w:pPr>
      <w:tabs>
        <w:tab w:val="left" w:pos="1200"/>
        <w:tab w:val="left" w:pos="1620"/>
      </w:tabs>
      <w:ind w:left="1200" w:hanging="360"/>
    </w:pPr>
  </w:style>
  <w:style w:type="paragraph" w:styleId="19">
    <w:name w:val="index 8"/>
    <w:basedOn w:val="1"/>
    <w:next w:val="1"/>
    <w:semiHidden/>
    <w:qFormat/>
    <w:uiPriority w:val="0"/>
    <w:pPr>
      <w:ind w:left="1400" w:leftChars="1400"/>
    </w:pPr>
  </w:style>
  <w:style w:type="paragraph" w:styleId="20">
    <w:name w:val="E-mail Signature"/>
    <w:basedOn w:val="1"/>
    <w:link w:val="207"/>
    <w:qFormat/>
    <w:uiPriority w:val="0"/>
    <w:rPr>
      <w:szCs w:val="20"/>
    </w:rPr>
  </w:style>
  <w:style w:type="paragraph" w:styleId="21">
    <w:name w:val="List Number"/>
    <w:basedOn w:val="1"/>
    <w:qFormat/>
    <w:uiPriority w:val="0"/>
    <w:pPr>
      <w:tabs>
        <w:tab w:val="left" w:pos="360"/>
        <w:tab w:val="left" w:pos="2040"/>
      </w:tabs>
      <w:ind w:left="2040" w:hanging="360"/>
    </w:pPr>
  </w:style>
  <w:style w:type="paragraph" w:styleId="22">
    <w:name w:val="Normal Indent"/>
    <w:basedOn w:val="1"/>
    <w:link w:val="157"/>
    <w:qFormat/>
    <w:uiPriority w:val="0"/>
    <w:pPr>
      <w:ind w:firstLine="420"/>
    </w:pPr>
    <w:rPr>
      <w:szCs w:val="20"/>
    </w:rPr>
  </w:style>
  <w:style w:type="paragraph" w:styleId="23">
    <w:name w:val="caption"/>
    <w:basedOn w:val="1"/>
    <w:next w:val="1"/>
    <w:link w:val="137"/>
    <w:qFormat/>
    <w:uiPriority w:val="0"/>
    <w:rPr>
      <w:rFonts w:ascii="Arial" w:hAnsi="Arial" w:eastAsia="黑体"/>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60"/>
        <w:tab w:val="left" w:pos="780"/>
      </w:tabs>
      <w:ind w:left="780" w:hanging="360"/>
    </w:pPr>
  </w:style>
  <w:style w:type="paragraph" w:styleId="26">
    <w:name w:val="envelope address"/>
    <w:basedOn w:val="1"/>
    <w:qFormat/>
    <w:uiPriority w:val="0"/>
    <w:pPr>
      <w:snapToGrid w:val="0"/>
      <w:ind w:left="100" w:leftChars="1400"/>
    </w:pPr>
    <w:rPr>
      <w:rFonts w:ascii="Arial" w:hAnsi="Arial" w:cs="Arial"/>
    </w:rPr>
  </w:style>
  <w:style w:type="paragraph" w:styleId="27">
    <w:name w:val="Document Map"/>
    <w:basedOn w:val="1"/>
    <w:link w:val="209"/>
    <w:semiHidden/>
    <w:qFormat/>
    <w:uiPriority w:val="0"/>
    <w:pPr>
      <w:shd w:val="clear" w:color="auto" w:fill="000080"/>
    </w:pPr>
    <w:rPr>
      <w:szCs w:val="20"/>
      <w:shd w:val="clear" w:color="auto" w:fill="000080"/>
    </w:rPr>
  </w:style>
  <w:style w:type="paragraph" w:styleId="28">
    <w:name w:val="toa heading"/>
    <w:basedOn w:val="1"/>
    <w:next w:val="1"/>
    <w:semiHidden/>
    <w:qFormat/>
    <w:uiPriority w:val="0"/>
    <w:pPr>
      <w:spacing w:before="120"/>
    </w:pPr>
    <w:rPr>
      <w:rFonts w:ascii="Arial" w:hAnsi="Arial" w:cs="Arial"/>
    </w:rPr>
  </w:style>
  <w:style w:type="paragraph" w:styleId="29">
    <w:name w:val="annotation text"/>
    <w:basedOn w:val="1"/>
    <w:link w:val="111"/>
    <w:semiHidden/>
    <w:qFormat/>
    <w:uiPriority w:val="0"/>
    <w:pPr>
      <w:jc w:val="left"/>
    </w:pPr>
    <w:rPr>
      <w:szCs w:val="20"/>
    </w:rPr>
  </w:style>
  <w:style w:type="paragraph" w:styleId="30">
    <w:name w:val="index 6"/>
    <w:basedOn w:val="1"/>
    <w:next w:val="1"/>
    <w:semiHidden/>
    <w:qFormat/>
    <w:uiPriority w:val="0"/>
    <w:pPr>
      <w:ind w:left="1000" w:leftChars="1000"/>
    </w:pPr>
  </w:style>
  <w:style w:type="paragraph" w:styleId="31">
    <w:name w:val="Salutation"/>
    <w:basedOn w:val="1"/>
    <w:next w:val="1"/>
    <w:link w:val="182"/>
    <w:qFormat/>
    <w:uiPriority w:val="0"/>
    <w:rPr>
      <w:szCs w:val="20"/>
    </w:rPr>
  </w:style>
  <w:style w:type="paragraph" w:styleId="32">
    <w:name w:val="Body Text 3"/>
    <w:basedOn w:val="1"/>
    <w:link w:val="131"/>
    <w:qFormat/>
    <w:uiPriority w:val="0"/>
    <w:pPr>
      <w:spacing w:after="120"/>
    </w:pPr>
    <w:rPr>
      <w:sz w:val="16"/>
      <w:szCs w:val="20"/>
    </w:rPr>
  </w:style>
  <w:style w:type="paragraph" w:styleId="33">
    <w:name w:val="Closing"/>
    <w:basedOn w:val="1"/>
    <w:link w:val="240"/>
    <w:qFormat/>
    <w:uiPriority w:val="0"/>
    <w:pPr>
      <w:ind w:left="100" w:leftChars="2100"/>
    </w:pPr>
    <w:rPr>
      <w:szCs w:val="20"/>
    </w:rPr>
  </w:style>
  <w:style w:type="paragraph" w:styleId="34">
    <w:name w:val="List Bullet 3"/>
    <w:basedOn w:val="1"/>
    <w:qFormat/>
    <w:uiPriority w:val="0"/>
    <w:pPr>
      <w:tabs>
        <w:tab w:val="left" w:pos="1200"/>
        <w:tab w:val="left" w:pos="1620"/>
      </w:tabs>
      <w:ind w:left="1620" w:hanging="360"/>
    </w:pPr>
  </w:style>
  <w:style w:type="paragraph" w:styleId="35">
    <w:name w:val="Body Text"/>
    <w:basedOn w:val="1"/>
    <w:next w:val="36"/>
    <w:link w:val="227"/>
    <w:qFormat/>
    <w:uiPriority w:val="0"/>
    <w:pPr>
      <w:spacing w:after="120"/>
    </w:pPr>
    <w:rPr>
      <w:szCs w:val="20"/>
    </w:rPr>
  </w:style>
  <w:style w:type="paragraph" w:styleId="36">
    <w:name w:val="Body Text First Indent"/>
    <w:basedOn w:val="35"/>
    <w:link w:val="138"/>
    <w:qFormat/>
    <w:uiPriority w:val="0"/>
    <w:pPr>
      <w:ind w:firstLine="420" w:firstLineChars="100"/>
    </w:pPr>
  </w:style>
  <w:style w:type="paragraph" w:styleId="37">
    <w:name w:val="Body Text Indent"/>
    <w:basedOn w:val="1"/>
    <w:link w:val="159"/>
    <w:qFormat/>
    <w:uiPriority w:val="0"/>
    <w:pPr>
      <w:ind w:firstLine="630"/>
    </w:pPr>
    <w:rPr>
      <w:sz w:val="32"/>
      <w:szCs w:val="20"/>
    </w:rPr>
  </w:style>
  <w:style w:type="paragraph" w:styleId="38">
    <w:name w:val="List Number 3"/>
    <w:basedOn w:val="1"/>
    <w:qFormat/>
    <w:uiPriority w:val="0"/>
    <w:pPr>
      <w:tabs>
        <w:tab w:val="left" w:pos="1200"/>
      </w:tabs>
      <w:ind w:left="643" w:hanging="360"/>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tabs>
        <w:tab w:val="left" w:pos="780"/>
      </w:tabs>
      <w:ind w:left="992" w:hanging="510"/>
    </w:pPr>
  </w:style>
  <w:style w:type="paragraph" w:styleId="43">
    <w:name w:val="HTML Address"/>
    <w:basedOn w:val="1"/>
    <w:link w:val="179"/>
    <w:qFormat/>
    <w:uiPriority w:val="0"/>
    <w:rPr>
      <w:i/>
      <w:szCs w:val="20"/>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ind w:left="1680" w:leftChars="800"/>
    </w:pPr>
    <w:rPr>
      <w:rFonts w:ascii="Calibri" w:hAnsi="Calibri"/>
      <w:szCs w:val="22"/>
    </w:rPr>
  </w:style>
  <w:style w:type="paragraph" w:styleId="46">
    <w:name w:val="toc 3"/>
    <w:basedOn w:val="1"/>
    <w:next w:val="1"/>
    <w:qFormat/>
    <w:uiPriority w:val="39"/>
    <w:pPr>
      <w:ind w:left="840" w:leftChars="400"/>
    </w:pPr>
    <w:rPr>
      <w:rFonts w:eastAsia="楷体"/>
    </w:rPr>
  </w:style>
  <w:style w:type="paragraph" w:styleId="47">
    <w:name w:val="Plain Text"/>
    <w:basedOn w:val="1"/>
    <w:link w:val="110"/>
    <w:qFormat/>
    <w:uiPriority w:val="0"/>
    <w:rPr>
      <w:rFonts w:ascii="宋体" w:hAnsi="Courier New"/>
      <w:szCs w:val="20"/>
    </w:rPr>
  </w:style>
  <w:style w:type="paragraph" w:styleId="48">
    <w:name w:val="List Bullet 5"/>
    <w:basedOn w:val="1"/>
    <w:qFormat/>
    <w:uiPriority w:val="0"/>
    <w:pPr>
      <w:tabs>
        <w:tab w:val="left" w:pos="1620"/>
        <w:tab w:val="left" w:pos="2040"/>
      </w:tabs>
      <w:ind w:left="1620" w:hanging="360"/>
    </w:pPr>
  </w:style>
  <w:style w:type="paragraph" w:styleId="49">
    <w:name w:val="List Number 4"/>
    <w:basedOn w:val="1"/>
    <w:qFormat/>
    <w:uiPriority w:val="0"/>
    <w:pPr>
      <w:tabs>
        <w:tab w:val="left" w:pos="0"/>
        <w:tab w:val="left" w:pos="1620"/>
      </w:tabs>
    </w:pPr>
  </w:style>
  <w:style w:type="paragraph" w:styleId="50">
    <w:name w:val="toc 8"/>
    <w:basedOn w:val="1"/>
    <w:next w:val="1"/>
    <w:semiHidden/>
    <w:qFormat/>
    <w:uiPriority w:val="0"/>
    <w:pPr>
      <w:ind w:left="2940" w:leftChars="1400"/>
    </w:pPr>
    <w:rPr>
      <w:rFonts w:ascii="Calibri" w:hAnsi="Calibri"/>
      <w:szCs w:val="22"/>
    </w:rPr>
  </w:style>
  <w:style w:type="paragraph" w:styleId="51">
    <w:name w:val="index 3"/>
    <w:basedOn w:val="1"/>
    <w:next w:val="1"/>
    <w:semiHidden/>
    <w:qFormat/>
    <w:uiPriority w:val="0"/>
    <w:pPr>
      <w:ind w:left="400" w:leftChars="400"/>
    </w:pPr>
  </w:style>
  <w:style w:type="paragraph" w:styleId="52">
    <w:name w:val="Date"/>
    <w:basedOn w:val="1"/>
    <w:next w:val="1"/>
    <w:link w:val="175"/>
    <w:qFormat/>
    <w:uiPriority w:val="0"/>
    <w:pPr>
      <w:ind w:left="100" w:leftChars="2500"/>
    </w:pPr>
    <w:rPr>
      <w:szCs w:val="20"/>
    </w:rPr>
  </w:style>
  <w:style w:type="paragraph" w:styleId="53">
    <w:name w:val="Body Text Indent 2"/>
    <w:basedOn w:val="1"/>
    <w:link w:val="213"/>
    <w:qFormat/>
    <w:uiPriority w:val="0"/>
    <w:pPr>
      <w:spacing w:after="120" w:line="480" w:lineRule="auto"/>
      <w:ind w:left="420" w:leftChars="200"/>
    </w:pPr>
    <w:rPr>
      <w:szCs w:val="20"/>
    </w:rPr>
  </w:style>
  <w:style w:type="paragraph" w:styleId="54">
    <w:name w:val="endnote text"/>
    <w:basedOn w:val="1"/>
    <w:link w:val="132"/>
    <w:semiHidden/>
    <w:qFormat/>
    <w:uiPriority w:val="0"/>
    <w:pPr>
      <w:snapToGrid w:val="0"/>
      <w:jc w:val="left"/>
    </w:pPr>
    <w:rPr>
      <w:szCs w:val="20"/>
    </w:rPr>
  </w:style>
  <w:style w:type="paragraph" w:styleId="55">
    <w:name w:val="List Continue 5"/>
    <w:basedOn w:val="1"/>
    <w:qFormat/>
    <w:uiPriority w:val="0"/>
    <w:pPr>
      <w:spacing w:after="120"/>
      <w:ind w:left="2100" w:leftChars="1000"/>
    </w:pPr>
  </w:style>
  <w:style w:type="paragraph" w:styleId="56">
    <w:name w:val="Balloon Text"/>
    <w:basedOn w:val="1"/>
    <w:link w:val="156"/>
    <w:semiHidden/>
    <w:qFormat/>
    <w:uiPriority w:val="0"/>
    <w:rPr>
      <w:sz w:val="18"/>
      <w:szCs w:val="20"/>
    </w:rPr>
  </w:style>
  <w:style w:type="paragraph" w:styleId="57">
    <w:name w:val="footer"/>
    <w:basedOn w:val="1"/>
    <w:link w:val="118"/>
    <w:qFormat/>
    <w:uiPriority w:val="99"/>
    <w:pPr>
      <w:tabs>
        <w:tab w:val="center" w:pos="4153"/>
        <w:tab w:val="right" w:pos="8306"/>
      </w:tabs>
      <w:snapToGrid w:val="0"/>
      <w:jc w:val="left"/>
    </w:pPr>
    <w:rPr>
      <w:sz w:val="18"/>
      <w:szCs w:val="20"/>
    </w:rPr>
  </w:style>
  <w:style w:type="paragraph" w:styleId="58">
    <w:name w:val="envelope return"/>
    <w:basedOn w:val="1"/>
    <w:qFormat/>
    <w:uiPriority w:val="0"/>
    <w:pPr>
      <w:snapToGrid w:val="0"/>
    </w:pPr>
    <w:rPr>
      <w:rFonts w:ascii="Arial" w:hAnsi="Arial" w:cs="Arial"/>
    </w:rPr>
  </w:style>
  <w:style w:type="paragraph" w:styleId="59">
    <w:name w:val="header"/>
    <w:basedOn w:val="1"/>
    <w:link w:val="231"/>
    <w:qFormat/>
    <w:uiPriority w:val="0"/>
    <w:pPr>
      <w:pBdr>
        <w:bottom w:val="single" w:color="auto" w:sz="6" w:space="1"/>
      </w:pBdr>
      <w:tabs>
        <w:tab w:val="center" w:pos="4153"/>
        <w:tab w:val="right" w:pos="8306"/>
      </w:tabs>
      <w:snapToGrid w:val="0"/>
      <w:jc w:val="center"/>
    </w:pPr>
    <w:rPr>
      <w:sz w:val="18"/>
      <w:szCs w:val="20"/>
    </w:rPr>
  </w:style>
  <w:style w:type="paragraph" w:styleId="60">
    <w:name w:val="Signature"/>
    <w:basedOn w:val="1"/>
    <w:link w:val="167"/>
    <w:qFormat/>
    <w:uiPriority w:val="0"/>
    <w:pPr>
      <w:ind w:left="100" w:leftChars="2100"/>
    </w:pPr>
    <w:rPr>
      <w:szCs w:val="20"/>
    </w:rPr>
  </w:style>
  <w:style w:type="paragraph" w:styleId="61">
    <w:name w:val="toc 1"/>
    <w:basedOn w:val="1"/>
    <w:next w:val="1"/>
    <w:qFormat/>
    <w:uiPriority w:val="39"/>
    <w:pPr>
      <w:tabs>
        <w:tab w:val="right" w:leader="dot" w:pos="8949"/>
      </w:tabs>
      <w:spacing w:line="240" w:lineRule="auto"/>
      <w:ind w:firstLine="0" w:firstLineChars="0"/>
      <w:jc w:val="left"/>
    </w:pPr>
    <w:rPr>
      <w:rFonts w:ascii="楷体" w:hAnsi="楷体" w:eastAsia="楷体"/>
      <w:b/>
      <w:szCs w:val="28"/>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1260" w:leftChars="600"/>
    </w:pPr>
    <w:rPr>
      <w:rFonts w:ascii="Calibri" w:hAnsi="Calibri"/>
      <w:szCs w:val="22"/>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next w:val="1"/>
    <w:link w:val="158"/>
    <w:qFormat/>
    <w:uiPriority w:val="0"/>
    <w:pPr>
      <w:spacing w:before="240" w:after="60" w:line="312" w:lineRule="auto"/>
      <w:jc w:val="center"/>
      <w:outlineLvl w:val="1"/>
    </w:pPr>
    <w:rPr>
      <w:rFonts w:ascii="Cambria" w:hAnsi="Cambria"/>
      <w:b/>
      <w:kern w:val="28"/>
      <w:sz w:val="32"/>
      <w:szCs w:val="20"/>
    </w:rPr>
  </w:style>
  <w:style w:type="paragraph" w:styleId="67">
    <w:name w:val="List Number 5"/>
    <w:basedOn w:val="1"/>
    <w:qFormat/>
    <w:uiPriority w:val="0"/>
    <w:pPr>
      <w:tabs>
        <w:tab w:val="left" w:pos="780"/>
        <w:tab w:val="left" w:pos="2040"/>
      </w:tabs>
      <w:ind w:left="780" w:hanging="360"/>
    </w:pPr>
  </w:style>
  <w:style w:type="paragraph" w:styleId="68">
    <w:name w:val="List"/>
    <w:basedOn w:val="1"/>
    <w:qFormat/>
    <w:uiPriority w:val="0"/>
    <w:pPr>
      <w:ind w:left="200" w:hanging="200" w:hangingChars="200"/>
    </w:pPr>
  </w:style>
  <w:style w:type="paragraph" w:styleId="69">
    <w:name w:val="footnote text"/>
    <w:basedOn w:val="1"/>
    <w:link w:val="145"/>
    <w:semiHidden/>
    <w:qFormat/>
    <w:uiPriority w:val="0"/>
    <w:pPr>
      <w:snapToGrid w:val="0"/>
      <w:jc w:val="left"/>
    </w:pPr>
    <w:rPr>
      <w:sz w:val="18"/>
      <w:szCs w:val="20"/>
    </w:rPr>
  </w:style>
  <w:style w:type="paragraph" w:styleId="70">
    <w:name w:val="toc 6"/>
    <w:basedOn w:val="1"/>
    <w:next w:val="1"/>
    <w:semiHidden/>
    <w:qFormat/>
    <w:uiPriority w:val="0"/>
    <w:pPr>
      <w:ind w:left="2100" w:leftChars="1000"/>
    </w:pPr>
    <w:rPr>
      <w:rFonts w:ascii="Calibri" w:hAnsi="Calibri"/>
      <w:szCs w:val="22"/>
    </w:rPr>
  </w:style>
  <w:style w:type="paragraph" w:styleId="71">
    <w:name w:val="List 5"/>
    <w:basedOn w:val="1"/>
    <w:qFormat/>
    <w:uiPriority w:val="0"/>
    <w:pPr>
      <w:ind w:left="100" w:leftChars="800" w:hanging="200" w:hangingChars="200"/>
    </w:pPr>
  </w:style>
  <w:style w:type="paragraph" w:styleId="72">
    <w:name w:val="Body Text Indent 3"/>
    <w:basedOn w:val="1"/>
    <w:link w:val="143"/>
    <w:qFormat/>
    <w:uiPriority w:val="0"/>
    <w:pPr>
      <w:spacing w:after="120"/>
      <w:ind w:left="420" w:leftChars="200"/>
    </w:pPr>
    <w:rPr>
      <w:sz w:val="16"/>
      <w:szCs w:val="2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39"/>
    <w:pPr>
      <w:tabs>
        <w:tab w:val="right" w:leader="dot" w:pos="8949"/>
      </w:tabs>
      <w:spacing w:line="240" w:lineRule="auto"/>
      <w:ind w:left="200" w:leftChars="200" w:firstLine="0" w:firstLineChars="0"/>
      <w:jc w:val="left"/>
    </w:pPr>
    <w:rPr>
      <w:rFonts w:eastAsia="楷体"/>
    </w:rPr>
  </w:style>
  <w:style w:type="paragraph" w:styleId="77">
    <w:name w:val="toc 9"/>
    <w:basedOn w:val="1"/>
    <w:next w:val="1"/>
    <w:semiHidden/>
    <w:qFormat/>
    <w:uiPriority w:val="0"/>
    <w:pPr>
      <w:ind w:left="3360" w:leftChars="1600"/>
    </w:pPr>
    <w:rPr>
      <w:rFonts w:ascii="Calibri" w:hAnsi="Calibri"/>
      <w:szCs w:val="22"/>
    </w:rPr>
  </w:style>
  <w:style w:type="paragraph" w:styleId="78">
    <w:name w:val="Body Text 2"/>
    <w:basedOn w:val="1"/>
    <w:link w:val="196"/>
    <w:qFormat/>
    <w:uiPriority w:val="0"/>
    <w:pPr>
      <w:spacing w:after="120" w:line="480" w:lineRule="auto"/>
    </w:pPr>
    <w:rPr>
      <w:szCs w:val="2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7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Cs w:val="20"/>
      <w:shd w:val="pct20" w:color="auto" w:fill="auto"/>
    </w:rPr>
  </w:style>
  <w:style w:type="paragraph" w:styleId="82">
    <w:name w:val="HTML Preformatted"/>
    <w:basedOn w:val="1"/>
    <w:link w:val="140"/>
    <w:qFormat/>
    <w:uiPriority w:val="0"/>
    <w:rPr>
      <w:rFonts w:ascii="Courier New" w:hAnsi="Courier New"/>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next w:val="1"/>
    <w:link w:val="163"/>
    <w:qFormat/>
    <w:uiPriority w:val="0"/>
    <w:pPr>
      <w:spacing w:before="240" w:after="60"/>
      <w:jc w:val="center"/>
      <w:outlineLvl w:val="0"/>
    </w:pPr>
    <w:rPr>
      <w:rFonts w:ascii="Cambria" w:hAnsi="Cambria"/>
      <w:b/>
      <w:sz w:val="32"/>
      <w:szCs w:val="20"/>
    </w:rPr>
  </w:style>
  <w:style w:type="paragraph" w:styleId="87">
    <w:name w:val="annotation subject"/>
    <w:basedOn w:val="29"/>
    <w:next w:val="29"/>
    <w:link w:val="204"/>
    <w:semiHidden/>
    <w:qFormat/>
    <w:uiPriority w:val="0"/>
    <w:rPr>
      <w:b/>
    </w:rPr>
  </w:style>
  <w:style w:type="paragraph" w:styleId="88">
    <w:name w:val="Body Text First Indent 2"/>
    <w:basedOn w:val="37"/>
    <w:link w:val="234"/>
    <w:qFormat/>
    <w:uiPriority w:val="0"/>
    <w:pPr>
      <w:spacing w:after="120"/>
      <w:ind w:left="420" w:leftChars="200" w:firstLine="420"/>
    </w:pPr>
    <w:rPr>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rPr>
  </w:style>
  <w:style w:type="character" w:styleId="93">
    <w:name w:val="page number"/>
    <w:basedOn w:val="91"/>
    <w:qFormat/>
    <w:uiPriority w:val="0"/>
    <w:rPr>
      <w:rFonts w:cs="Times New Roman"/>
    </w:rPr>
  </w:style>
  <w:style w:type="character" w:styleId="94">
    <w:name w:val="FollowedHyperlink"/>
    <w:basedOn w:val="91"/>
    <w:qFormat/>
    <w:uiPriority w:val="0"/>
    <w:rPr>
      <w:color w:val="800080"/>
      <w:u w:val="single"/>
    </w:rPr>
  </w:style>
  <w:style w:type="character" w:styleId="95">
    <w:name w:val="Emphasis"/>
    <w:basedOn w:val="91"/>
    <w:qFormat/>
    <w:uiPriority w:val="0"/>
  </w:style>
  <w:style w:type="character" w:styleId="96">
    <w:name w:val="HTML Definition"/>
    <w:basedOn w:val="91"/>
    <w:qFormat/>
    <w:uiPriority w:val="0"/>
  </w:style>
  <w:style w:type="character" w:styleId="97">
    <w:name w:val="HTML Variable"/>
    <w:basedOn w:val="91"/>
    <w:semiHidden/>
    <w:unhideWhenUsed/>
    <w:qFormat/>
    <w:uiPriority w:val="0"/>
  </w:style>
  <w:style w:type="character" w:styleId="98">
    <w:name w:val="Hyperlink"/>
    <w:basedOn w:val="91"/>
    <w:qFormat/>
    <w:uiPriority w:val="99"/>
    <w:rPr>
      <w:color w:val="0000FF"/>
      <w:u w:val="single"/>
    </w:rPr>
  </w:style>
  <w:style w:type="character" w:styleId="99">
    <w:name w:val="HTML Code"/>
    <w:basedOn w:val="91"/>
    <w:semiHidden/>
    <w:unhideWhenUsed/>
    <w:qFormat/>
    <w:uiPriority w:val="0"/>
    <w:rPr>
      <w:rFonts w:ascii="Courier New" w:hAnsi="Courier New"/>
      <w:sz w:val="20"/>
    </w:rPr>
  </w:style>
  <w:style w:type="character" w:styleId="100">
    <w:name w:val="annotation reference"/>
    <w:basedOn w:val="91"/>
    <w:semiHidden/>
    <w:qFormat/>
    <w:uiPriority w:val="0"/>
    <w:rPr>
      <w:sz w:val="21"/>
    </w:rPr>
  </w:style>
  <w:style w:type="character" w:styleId="101">
    <w:name w:val="HTML Cite"/>
    <w:basedOn w:val="91"/>
    <w:semiHidden/>
    <w:unhideWhenUsed/>
    <w:qFormat/>
    <w:uiPriority w:val="0"/>
  </w:style>
  <w:style w:type="character" w:styleId="102">
    <w:name w:val="footnote reference"/>
    <w:basedOn w:val="91"/>
    <w:semiHidden/>
    <w:qFormat/>
    <w:uiPriority w:val="0"/>
    <w:rPr>
      <w:vertAlign w:val="superscript"/>
    </w:rPr>
  </w:style>
  <w:style w:type="paragraph" w:customStyle="1" w:styleId="103">
    <w:name w:val="标题 5（有编号）（绿盟科技）"/>
    <w:basedOn w:val="1"/>
    <w:next w:val="104"/>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4">
    <w:name w:val="正文（绿盟科技）"/>
    <w:qFormat/>
    <w:uiPriority w:val="99"/>
    <w:pPr>
      <w:spacing w:line="300" w:lineRule="auto"/>
    </w:pPr>
    <w:rPr>
      <w:rFonts w:ascii="Arial" w:hAnsi="Arial" w:eastAsia="宋体" w:cs="Times New Roman"/>
      <w:sz w:val="21"/>
      <w:szCs w:val="21"/>
      <w:lang w:val="en-US" w:eastAsia="zh-CN" w:bidi="ar-SA"/>
    </w:rPr>
  </w:style>
  <w:style w:type="character" w:customStyle="1" w:styleId="105">
    <w:name w:val="font71"/>
    <w:qFormat/>
    <w:uiPriority w:val="0"/>
    <w:rPr>
      <w:rFonts w:ascii="宋体" w:hAnsi="宋体" w:eastAsia="宋体"/>
      <w:color w:val="000000"/>
      <w:sz w:val="24"/>
      <w:u w:val="none"/>
    </w:rPr>
  </w:style>
  <w:style w:type="character" w:customStyle="1" w:styleId="106">
    <w:name w:val="宏文本 Char1"/>
    <w:qFormat/>
    <w:uiPriority w:val="0"/>
    <w:rPr>
      <w:rFonts w:ascii="Courier New" w:hAnsi="Courier New"/>
      <w:kern w:val="2"/>
      <w:sz w:val="24"/>
    </w:rPr>
  </w:style>
  <w:style w:type="character" w:customStyle="1" w:styleId="107">
    <w:name w:val="标题 7 Char"/>
    <w:link w:val="10"/>
    <w:qFormat/>
    <w:locked/>
    <w:uiPriority w:val="0"/>
    <w:rPr>
      <w:b/>
      <w:kern w:val="2"/>
      <w:sz w:val="24"/>
    </w:rPr>
  </w:style>
  <w:style w:type="character" w:customStyle="1" w:styleId="108">
    <w:name w:val="标准文本 Char Char"/>
    <w:link w:val="7"/>
    <w:qFormat/>
    <w:locked/>
    <w:uiPriority w:val="0"/>
    <w:rPr>
      <w:kern w:val="2"/>
      <w:sz w:val="24"/>
    </w:rPr>
  </w:style>
  <w:style w:type="character" w:customStyle="1" w:styleId="109">
    <w:name w:val="ourfont1"/>
    <w:qFormat/>
    <w:uiPriority w:val="0"/>
    <w:rPr>
      <w:rFonts w:ascii="宋体" w:hAnsi="宋体" w:eastAsia="宋体"/>
      <w:sz w:val="18"/>
    </w:rPr>
  </w:style>
  <w:style w:type="character" w:customStyle="1" w:styleId="110">
    <w:name w:val="纯文本 Char"/>
    <w:link w:val="47"/>
    <w:qFormat/>
    <w:locked/>
    <w:uiPriority w:val="0"/>
    <w:rPr>
      <w:rFonts w:ascii="宋体" w:hAnsi="Courier New"/>
      <w:kern w:val="2"/>
      <w:sz w:val="21"/>
    </w:rPr>
  </w:style>
  <w:style w:type="character" w:customStyle="1" w:styleId="111">
    <w:name w:val="批注文字 Char"/>
    <w:link w:val="29"/>
    <w:qFormat/>
    <w:locked/>
    <w:uiPriority w:val="0"/>
    <w:rPr>
      <w:kern w:val="2"/>
      <w:sz w:val="24"/>
    </w:rPr>
  </w:style>
  <w:style w:type="character" w:customStyle="1" w:styleId="112">
    <w:name w:val="top11"/>
    <w:qFormat/>
    <w:uiPriority w:val="0"/>
  </w:style>
  <w:style w:type="character" w:customStyle="1" w:styleId="113">
    <w:name w:val="标题 8 Char"/>
    <w:link w:val="11"/>
    <w:qFormat/>
    <w:locked/>
    <w:uiPriority w:val="0"/>
    <w:rPr>
      <w:rFonts w:ascii="Arial" w:hAnsi="Arial" w:eastAsia="黑体"/>
      <w:kern w:val="2"/>
      <w:sz w:val="24"/>
    </w:rPr>
  </w:style>
  <w:style w:type="character" w:customStyle="1" w:styleId="114">
    <w:name w:val="标题 3 Char"/>
    <w:link w:val="5"/>
    <w:qFormat/>
    <w:locked/>
    <w:uiPriority w:val="0"/>
    <w:rPr>
      <w:b/>
      <w:kern w:val="2"/>
      <w:sz w:val="24"/>
    </w:rPr>
  </w:style>
  <w:style w:type="character" w:customStyle="1" w:styleId="115">
    <w:name w:val="ES_功能点 Char Char"/>
    <w:link w:val="116"/>
    <w:qFormat/>
    <w:locked/>
    <w:uiPriority w:val="0"/>
    <w:rPr>
      <w:rFonts w:ascii="黑体" w:eastAsia="黑体"/>
      <w:kern w:val="2"/>
      <w:sz w:val="28"/>
      <w:szCs w:val="28"/>
      <w:lang w:val="en-US" w:eastAsia="zh-CN" w:bidi="ar-SA"/>
    </w:rPr>
  </w:style>
  <w:style w:type="paragraph" w:customStyle="1" w:styleId="116">
    <w:name w:val="ES_功能点"/>
    <w:next w:val="117"/>
    <w:link w:val="115"/>
    <w:qFormat/>
    <w:uiPriority w:val="0"/>
    <w:pPr>
      <w:tabs>
        <w:tab w:val="left" w:pos="720"/>
        <w:tab w:val="left" w:pos="850"/>
      </w:tabs>
      <w:ind w:left="850" w:hanging="425"/>
    </w:pPr>
    <w:rPr>
      <w:rFonts w:ascii="黑体" w:hAnsi="Times New Roman" w:eastAsia="黑体" w:cs="Times New Roman"/>
      <w:kern w:val="2"/>
      <w:sz w:val="28"/>
      <w:szCs w:val="28"/>
      <w:lang w:val="en-US" w:eastAsia="zh-CN" w:bidi="ar-SA"/>
    </w:rPr>
  </w:style>
  <w:style w:type="paragraph" w:customStyle="1" w:styleId="117">
    <w:name w:val="ES_换行"/>
    <w:link w:val="154"/>
    <w:qFormat/>
    <w:uiPriority w:val="0"/>
    <w:rPr>
      <w:rFonts w:ascii="Times New Roman" w:hAnsi="Times New Roman" w:eastAsia="宋体" w:cs="Times New Roman"/>
      <w:bCs/>
      <w:kern w:val="44"/>
      <w:sz w:val="21"/>
      <w:szCs w:val="44"/>
      <w:lang w:val="en-US" w:eastAsia="zh-CN" w:bidi="ar-SA"/>
    </w:rPr>
  </w:style>
  <w:style w:type="character" w:customStyle="1" w:styleId="118">
    <w:name w:val="页脚 Char"/>
    <w:link w:val="57"/>
    <w:qFormat/>
    <w:locked/>
    <w:uiPriority w:val="99"/>
    <w:rPr>
      <w:kern w:val="2"/>
      <w:sz w:val="18"/>
    </w:rPr>
  </w:style>
  <w:style w:type="character" w:customStyle="1" w:styleId="119">
    <w:name w:val="point_normal"/>
    <w:qFormat/>
    <w:uiPriority w:val="0"/>
  </w:style>
  <w:style w:type="character" w:customStyle="1" w:styleId="120">
    <w:name w:val="普通正文 Char Char"/>
    <w:link w:val="121"/>
    <w:qFormat/>
    <w:locked/>
    <w:uiPriority w:val="0"/>
    <w:rPr>
      <w:rFonts w:ascii="宋体" w:eastAsia="宋体"/>
      <w:b/>
      <w:color w:val="000000"/>
      <w:sz w:val="24"/>
    </w:rPr>
  </w:style>
  <w:style w:type="paragraph" w:customStyle="1" w:styleId="121">
    <w:name w:val="普通正文"/>
    <w:basedOn w:val="1"/>
    <w:link w:val="120"/>
    <w:qFormat/>
    <w:uiPriority w:val="0"/>
    <w:pPr>
      <w:widowControl/>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b/>
      <w:color w:val="000000"/>
      <w:kern w:val="0"/>
      <w:szCs w:val="20"/>
    </w:rPr>
  </w:style>
  <w:style w:type="character" w:customStyle="1" w:styleId="122">
    <w:name w:val="脚注文本 Char1"/>
    <w:qFormat/>
    <w:uiPriority w:val="0"/>
    <w:rPr>
      <w:kern w:val="2"/>
      <w:sz w:val="18"/>
    </w:rPr>
  </w:style>
  <w:style w:type="character" w:customStyle="1" w:styleId="123">
    <w:name w:val="List Paragraph Char"/>
    <w:link w:val="124"/>
    <w:qFormat/>
    <w:locked/>
    <w:uiPriority w:val="0"/>
    <w:rPr>
      <w:rFonts w:ascii="Calibri" w:hAnsi="Calibri"/>
      <w:kern w:val="2"/>
      <w:sz w:val="22"/>
    </w:rPr>
  </w:style>
  <w:style w:type="paragraph" w:customStyle="1" w:styleId="124">
    <w:name w:val="列出段落1"/>
    <w:basedOn w:val="1"/>
    <w:link w:val="123"/>
    <w:qFormat/>
    <w:uiPriority w:val="0"/>
    <w:pPr>
      <w:ind w:firstLine="420"/>
    </w:pPr>
    <w:rPr>
      <w:rFonts w:ascii="Calibri" w:hAnsi="Calibri"/>
      <w:sz w:val="22"/>
      <w:szCs w:val="20"/>
    </w:rPr>
  </w:style>
  <w:style w:type="character" w:customStyle="1" w:styleId="125">
    <w:name w:val="标题 9 Char"/>
    <w:link w:val="12"/>
    <w:qFormat/>
    <w:locked/>
    <w:uiPriority w:val="0"/>
    <w:rPr>
      <w:rFonts w:ascii="Arial" w:hAnsi="Arial" w:eastAsia="黑体"/>
      <w:kern w:val="2"/>
      <w:sz w:val="21"/>
    </w:rPr>
  </w:style>
  <w:style w:type="character" w:customStyle="1" w:styleId="126">
    <w:name w:val="ES_小条目 Char Char"/>
    <w:link w:val="127"/>
    <w:qFormat/>
    <w:locked/>
    <w:uiPriority w:val="0"/>
    <w:rPr>
      <w:rFonts w:ascii="楷体_GB2312" w:eastAsia="楷体_GB2312"/>
      <w:b/>
      <w:kern w:val="44"/>
      <w:sz w:val="24"/>
    </w:rPr>
  </w:style>
  <w:style w:type="paragraph" w:customStyle="1" w:styleId="127">
    <w:name w:val="ES_小条目"/>
    <w:basedOn w:val="1"/>
    <w:next w:val="1"/>
    <w:link w:val="126"/>
    <w:qFormat/>
    <w:uiPriority w:val="0"/>
    <w:pPr>
      <w:widowControl/>
      <w:jc w:val="left"/>
    </w:pPr>
    <w:rPr>
      <w:rFonts w:ascii="楷体_GB2312" w:eastAsia="楷体_GB2312"/>
      <w:b/>
      <w:kern w:val="44"/>
      <w:szCs w:val="20"/>
    </w:rPr>
  </w:style>
  <w:style w:type="character" w:customStyle="1" w:styleId="128">
    <w:name w:val="着重标记"/>
    <w:qFormat/>
    <w:uiPriority w:val="0"/>
    <w:rPr>
      <w:b/>
      <w:sz w:val="24"/>
      <w:u w:val="single"/>
    </w:rPr>
  </w:style>
  <w:style w:type="character" w:customStyle="1" w:styleId="129">
    <w:name w:val="FCH Bid 正文 Char Char"/>
    <w:link w:val="130"/>
    <w:qFormat/>
    <w:locked/>
    <w:uiPriority w:val="0"/>
    <w:rPr>
      <w:kern w:val="2"/>
      <w:sz w:val="24"/>
    </w:rPr>
  </w:style>
  <w:style w:type="paragraph" w:customStyle="1" w:styleId="130">
    <w:name w:val="FCH Bid 正文"/>
    <w:basedOn w:val="1"/>
    <w:link w:val="129"/>
    <w:qFormat/>
    <w:uiPriority w:val="0"/>
    <w:rPr>
      <w:szCs w:val="20"/>
    </w:rPr>
  </w:style>
  <w:style w:type="character" w:customStyle="1" w:styleId="131">
    <w:name w:val="正文文本 3 Char"/>
    <w:link w:val="32"/>
    <w:qFormat/>
    <w:locked/>
    <w:uiPriority w:val="0"/>
    <w:rPr>
      <w:kern w:val="2"/>
      <w:sz w:val="16"/>
    </w:rPr>
  </w:style>
  <w:style w:type="character" w:customStyle="1" w:styleId="132">
    <w:name w:val="尾注文本 Char"/>
    <w:link w:val="54"/>
    <w:qFormat/>
    <w:locked/>
    <w:uiPriority w:val="0"/>
    <w:rPr>
      <w:kern w:val="2"/>
      <w:sz w:val="24"/>
    </w:rPr>
  </w:style>
  <w:style w:type="character" w:customStyle="1" w:styleId="133">
    <w:name w:val="reg"/>
    <w:qFormat/>
    <w:uiPriority w:val="0"/>
  </w:style>
  <w:style w:type="character" w:customStyle="1" w:styleId="134">
    <w:name w:val="正文首行缩进2字 Char Char"/>
    <w:link w:val="135"/>
    <w:qFormat/>
    <w:locked/>
    <w:uiPriority w:val="0"/>
    <w:rPr>
      <w:rFonts w:eastAsia="楷体_GB2312"/>
      <w:kern w:val="2"/>
      <w:sz w:val="24"/>
    </w:rPr>
  </w:style>
  <w:style w:type="paragraph" w:customStyle="1" w:styleId="135">
    <w:name w:val="正文首行缩进2字"/>
    <w:basedOn w:val="1"/>
    <w:link w:val="134"/>
    <w:qFormat/>
    <w:uiPriority w:val="0"/>
    <w:pPr>
      <w:snapToGrid w:val="0"/>
      <w:spacing w:line="288" w:lineRule="auto"/>
      <w:ind w:firstLine="480"/>
    </w:pPr>
    <w:rPr>
      <w:rFonts w:eastAsia="楷体_GB2312"/>
      <w:szCs w:val="20"/>
    </w:rPr>
  </w:style>
  <w:style w:type="character" w:customStyle="1" w:styleId="136">
    <w:name w:val="font61"/>
    <w:qFormat/>
    <w:uiPriority w:val="0"/>
    <w:rPr>
      <w:rFonts w:ascii="宋体" w:hAnsi="宋体" w:eastAsia="宋体"/>
      <w:color w:val="000000"/>
      <w:sz w:val="20"/>
      <w:u w:val="none"/>
    </w:rPr>
  </w:style>
  <w:style w:type="character" w:customStyle="1" w:styleId="137">
    <w:name w:val="题注 Char"/>
    <w:link w:val="23"/>
    <w:qFormat/>
    <w:locked/>
    <w:uiPriority w:val="0"/>
    <w:rPr>
      <w:rFonts w:ascii="Arial" w:hAnsi="Arial" w:eastAsia="黑体"/>
      <w:kern w:val="2"/>
    </w:rPr>
  </w:style>
  <w:style w:type="character" w:customStyle="1" w:styleId="138">
    <w:name w:val="正文首行缩进 Char"/>
    <w:link w:val="36"/>
    <w:qFormat/>
    <w:locked/>
    <w:uiPriority w:val="0"/>
  </w:style>
  <w:style w:type="character" w:customStyle="1" w:styleId="139">
    <w:name w:val="（符号）邀请函中一、"/>
    <w:qFormat/>
    <w:uiPriority w:val="0"/>
    <w:rPr>
      <w:rFonts w:ascii="黑体" w:hAnsi="黑体" w:eastAsia="黑体"/>
      <w:b/>
      <w:sz w:val="24"/>
    </w:rPr>
  </w:style>
  <w:style w:type="character" w:customStyle="1" w:styleId="140">
    <w:name w:val="HTML 预设格式 Char"/>
    <w:link w:val="82"/>
    <w:qFormat/>
    <w:locked/>
    <w:uiPriority w:val="0"/>
    <w:rPr>
      <w:rFonts w:ascii="Courier New" w:hAnsi="Courier New"/>
      <w:kern w:val="2"/>
    </w:rPr>
  </w:style>
  <w:style w:type="character" w:customStyle="1" w:styleId="141">
    <w:name w:val="sos1"/>
    <w:qFormat/>
    <w:uiPriority w:val="0"/>
    <w:rPr>
      <w:spacing w:val="300"/>
      <w:sz w:val="21"/>
    </w:rPr>
  </w:style>
  <w:style w:type="character" w:customStyle="1" w:styleId="142">
    <w:name w:val="myp111"/>
    <w:qFormat/>
    <w:uiPriority w:val="0"/>
    <w:rPr>
      <w:rFonts w:ascii="??" w:hAnsi="??"/>
      <w:color w:val="000000"/>
      <w:sz w:val="22"/>
      <w:u w:val="none"/>
    </w:rPr>
  </w:style>
  <w:style w:type="character" w:customStyle="1" w:styleId="143">
    <w:name w:val="正文文本缩进 3 Char"/>
    <w:link w:val="72"/>
    <w:qFormat/>
    <w:locked/>
    <w:uiPriority w:val="0"/>
    <w:rPr>
      <w:kern w:val="2"/>
      <w:sz w:val="16"/>
    </w:rPr>
  </w:style>
  <w:style w:type="character" w:customStyle="1" w:styleId="144">
    <w:name w:val="招标信息下划线"/>
    <w:qFormat/>
    <w:uiPriority w:val="0"/>
    <w:rPr>
      <w:b/>
      <w:sz w:val="36"/>
      <w:u w:val="single"/>
    </w:rPr>
  </w:style>
  <w:style w:type="character" w:customStyle="1" w:styleId="145">
    <w:name w:val="脚注文本 Char"/>
    <w:link w:val="69"/>
    <w:qFormat/>
    <w:locked/>
    <w:uiPriority w:val="0"/>
    <w:rPr>
      <w:kern w:val="2"/>
      <w:sz w:val="18"/>
    </w:rPr>
  </w:style>
  <w:style w:type="character" w:customStyle="1" w:styleId="146">
    <w:name w:val="ES_题注 Char Char"/>
    <w:link w:val="147"/>
    <w:qFormat/>
    <w:locked/>
    <w:uiPriority w:val="0"/>
    <w:rPr>
      <w:rFonts w:ascii="Arial" w:hAnsi="Arial" w:eastAsia="黑体" w:cs="Arial"/>
      <w:b/>
      <w:bCs/>
      <w:kern w:val="2"/>
      <w:szCs w:val="32"/>
      <w:lang w:val="en-US" w:eastAsia="zh-CN" w:bidi="ar-SA"/>
    </w:rPr>
  </w:style>
  <w:style w:type="paragraph" w:customStyle="1" w:styleId="147">
    <w:name w:val="ES_题注"/>
    <w:next w:val="117"/>
    <w:link w:val="146"/>
    <w:qFormat/>
    <w:uiPriority w:val="0"/>
    <w:pPr>
      <w:jc w:val="center"/>
    </w:pPr>
    <w:rPr>
      <w:rFonts w:ascii="Arial" w:hAnsi="Arial" w:eastAsia="黑体" w:cs="Arial"/>
      <w:b/>
      <w:bCs/>
      <w:kern w:val="2"/>
      <w:szCs w:val="32"/>
      <w:lang w:val="en-US" w:eastAsia="zh-CN" w:bidi="ar-SA"/>
    </w:rPr>
  </w:style>
  <w:style w:type="character" w:customStyle="1" w:styleId="148">
    <w:name w:val="样式 标题 4H4heading 4Ref Heading 1rh1Heading sqlsect 1.2.3.4...2 Char Char"/>
    <w:link w:val="149"/>
    <w:qFormat/>
    <w:locked/>
    <w:uiPriority w:val="0"/>
    <w:rPr>
      <w:rFonts w:ascii="Arial" w:hAnsi="Arial" w:eastAsia="黑体"/>
      <w:b/>
      <w:kern w:val="2"/>
      <w:sz w:val="28"/>
    </w:rPr>
  </w:style>
  <w:style w:type="paragraph" w:customStyle="1" w:styleId="149">
    <w:name w:val="样式 标题 4H4heading 4Ref Heading 1rh1Heading sqlsect 1.2.3.4...2"/>
    <w:basedOn w:val="6"/>
    <w:link w:val="148"/>
    <w:qFormat/>
    <w:uiPriority w:val="0"/>
    <w:pPr>
      <w:ind w:left="0" w:firstLine="0"/>
    </w:pPr>
  </w:style>
  <w:style w:type="character" w:customStyle="1" w:styleId="150">
    <w:name w:val="图片居中 Char Char"/>
    <w:link w:val="151"/>
    <w:qFormat/>
    <w:locked/>
    <w:uiPriority w:val="0"/>
    <w:rPr>
      <w:kern w:val="2"/>
      <w:sz w:val="21"/>
    </w:rPr>
  </w:style>
  <w:style w:type="paragraph" w:customStyle="1" w:styleId="151">
    <w:name w:val="图片居中"/>
    <w:basedOn w:val="1"/>
    <w:next w:val="7"/>
    <w:link w:val="150"/>
    <w:qFormat/>
    <w:uiPriority w:val="0"/>
    <w:pPr>
      <w:jc w:val="center"/>
    </w:pPr>
    <w:rPr>
      <w:szCs w:val="20"/>
    </w:rPr>
  </w:style>
  <w:style w:type="character" w:customStyle="1" w:styleId="152">
    <w:name w:val="正文文本 Char"/>
    <w:qFormat/>
    <w:uiPriority w:val="0"/>
    <w:rPr>
      <w:rFonts w:ascii="Times New Roman" w:hAnsi="Times New Roman"/>
      <w:kern w:val="2"/>
      <w:sz w:val="24"/>
    </w:rPr>
  </w:style>
  <w:style w:type="character" w:customStyle="1" w:styleId="153">
    <w:name w:val="unnamed21"/>
    <w:qFormat/>
    <w:uiPriority w:val="0"/>
    <w:rPr>
      <w:rFonts w:ascii="Arial" w:hAnsi="Arial"/>
      <w:color w:val="000033"/>
      <w:sz w:val="18"/>
    </w:rPr>
  </w:style>
  <w:style w:type="character" w:customStyle="1" w:styleId="154">
    <w:name w:val="ES_换行 Char Char"/>
    <w:link w:val="117"/>
    <w:qFormat/>
    <w:locked/>
    <w:uiPriority w:val="0"/>
    <w:rPr>
      <w:bCs/>
      <w:kern w:val="44"/>
      <w:sz w:val="21"/>
      <w:szCs w:val="44"/>
      <w:lang w:val="en-US" w:eastAsia="zh-CN" w:bidi="ar-SA"/>
    </w:rPr>
  </w:style>
  <w:style w:type="character" w:customStyle="1" w:styleId="155">
    <w:name w:val="纯文本 Char1"/>
    <w:qFormat/>
    <w:uiPriority w:val="0"/>
    <w:rPr>
      <w:rFonts w:ascii="宋体" w:hAnsi="Courier New"/>
      <w:kern w:val="2"/>
      <w:sz w:val="21"/>
    </w:rPr>
  </w:style>
  <w:style w:type="character" w:customStyle="1" w:styleId="156">
    <w:name w:val="批注框文本 Char"/>
    <w:link w:val="56"/>
    <w:qFormat/>
    <w:locked/>
    <w:uiPriority w:val="0"/>
    <w:rPr>
      <w:kern w:val="2"/>
      <w:sz w:val="18"/>
    </w:rPr>
  </w:style>
  <w:style w:type="character" w:customStyle="1" w:styleId="157">
    <w:name w:val="正文缩进 Char"/>
    <w:link w:val="22"/>
    <w:qFormat/>
    <w:locked/>
    <w:uiPriority w:val="0"/>
    <w:rPr>
      <w:kern w:val="2"/>
      <w:sz w:val="24"/>
    </w:rPr>
  </w:style>
  <w:style w:type="character" w:customStyle="1" w:styleId="158">
    <w:name w:val="副标题 Char"/>
    <w:link w:val="66"/>
    <w:qFormat/>
    <w:locked/>
    <w:uiPriority w:val="0"/>
    <w:rPr>
      <w:rFonts w:ascii="Cambria" w:hAnsi="Cambria"/>
      <w:b/>
      <w:kern w:val="28"/>
      <w:sz w:val="32"/>
    </w:rPr>
  </w:style>
  <w:style w:type="character" w:customStyle="1" w:styleId="159">
    <w:name w:val="正文文本缩进 Char1"/>
    <w:link w:val="37"/>
    <w:qFormat/>
    <w:locked/>
    <w:uiPriority w:val="0"/>
    <w:rPr>
      <w:kern w:val="2"/>
      <w:sz w:val="32"/>
    </w:rPr>
  </w:style>
  <w:style w:type="character" w:customStyle="1" w:styleId="160">
    <w:name w:val="YZ加重突出 Char Char"/>
    <w:link w:val="161"/>
    <w:qFormat/>
    <w:locked/>
    <w:uiPriority w:val="0"/>
    <w:rPr>
      <w:b/>
      <w:kern w:val="2"/>
      <w:sz w:val="24"/>
      <w:u w:val="single"/>
    </w:rPr>
  </w:style>
  <w:style w:type="paragraph" w:customStyle="1" w:styleId="161">
    <w:name w:val="YZ加重突出"/>
    <w:basedOn w:val="162"/>
    <w:link w:val="160"/>
    <w:qFormat/>
    <w:uiPriority w:val="0"/>
    <w:rPr>
      <w:b/>
      <w:u w:val="single"/>
    </w:rPr>
  </w:style>
  <w:style w:type="paragraph" w:customStyle="1" w:styleId="162">
    <w:name w:val="YZ首缩2.0"/>
    <w:basedOn w:val="1"/>
    <w:link w:val="208"/>
    <w:qFormat/>
    <w:uiPriority w:val="0"/>
    <w:pPr>
      <w:ind w:firstLine="480"/>
      <w:jc w:val="left"/>
    </w:pPr>
    <w:rPr>
      <w:szCs w:val="20"/>
    </w:rPr>
  </w:style>
  <w:style w:type="character" w:customStyle="1" w:styleId="163">
    <w:name w:val="标题 Char"/>
    <w:link w:val="86"/>
    <w:qFormat/>
    <w:locked/>
    <w:uiPriority w:val="0"/>
    <w:rPr>
      <w:rFonts w:ascii="Cambria" w:hAnsi="Cambria"/>
      <w:b/>
      <w:kern w:val="2"/>
      <w:sz w:val="32"/>
    </w:rPr>
  </w:style>
  <w:style w:type="character" w:customStyle="1" w:styleId="164">
    <w:name w:val="apple-converted-space"/>
    <w:qFormat/>
    <w:uiPriority w:val="0"/>
  </w:style>
  <w:style w:type="character" w:customStyle="1" w:styleId="165">
    <w:name w:val="封面小标题 Char Char"/>
    <w:link w:val="166"/>
    <w:qFormat/>
    <w:locked/>
    <w:uiPriority w:val="0"/>
    <w:rPr>
      <w:rFonts w:ascii="黑体" w:hAnsi="黑体" w:eastAsia="黑体"/>
      <w:b/>
      <w:kern w:val="2"/>
      <w:sz w:val="36"/>
    </w:rPr>
  </w:style>
  <w:style w:type="paragraph" w:customStyle="1" w:styleId="166">
    <w:name w:val="封面小标题"/>
    <w:basedOn w:val="1"/>
    <w:link w:val="165"/>
    <w:qFormat/>
    <w:uiPriority w:val="0"/>
    <w:pPr>
      <w:jc w:val="center"/>
    </w:pPr>
    <w:rPr>
      <w:rFonts w:ascii="黑体" w:hAnsi="黑体" w:eastAsia="黑体"/>
      <w:b/>
      <w:sz w:val="36"/>
      <w:szCs w:val="20"/>
    </w:rPr>
  </w:style>
  <w:style w:type="character" w:customStyle="1" w:styleId="167">
    <w:name w:val="签名 Char"/>
    <w:link w:val="60"/>
    <w:qFormat/>
    <w:locked/>
    <w:uiPriority w:val="0"/>
    <w:rPr>
      <w:kern w:val="2"/>
      <w:sz w:val="24"/>
    </w:rPr>
  </w:style>
  <w:style w:type="character" w:customStyle="1" w:styleId="168">
    <w:name w:val="hisc Indent 正文 Char Char"/>
    <w:link w:val="169"/>
    <w:qFormat/>
    <w:locked/>
    <w:uiPriority w:val="0"/>
    <w:rPr>
      <w:rFonts w:ascii="楷体_GB2312" w:hAnsi="楷体_GB2312" w:eastAsia="楷体_GB2312"/>
      <w:kern w:val="2"/>
      <w:sz w:val="21"/>
    </w:rPr>
  </w:style>
  <w:style w:type="paragraph" w:customStyle="1" w:styleId="169">
    <w:name w:val="hisc Indent 正文"/>
    <w:basedOn w:val="1"/>
    <w:link w:val="168"/>
    <w:qFormat/>
    <w:uiPriority w:val="0"/>
    <w:pPr>
      <w:ind w:firstLine="420"/>
    </w:pPr>
    <w:rPr>
      <w:rFonts w:ascii="楷体_GB2312" w:hAnsi="楷体_GB2312" w:eastAsia="楷体_GB2312"/>
      <w:szCs w:val="20"/>
    </w:rPr>
  </w:style>
  <w:style w:type="character" w:customStyle="1" w:styleId="170">
    <w:name w:val="样式 标题 3h33rd level3H3l3CTsect1.2.31.1.1Level 3 Topic He... Char Char"/>
    <w:link w:val="171"/>
    <w:qFormat/>
    <w:locked/>
    <w:uiPriority w:val="0"/>
    <w:rPr>
      <w:b/>
      <w:kern w:val="2"/>
      <w:sz w:val="32"/>
    </w:rPr>
  </w:style>
  <w:style w:type="paragraph" w:customStyle="1" w:styleId="171">
    <w:name w:val="样式 标题 3h33rd level3H3l3CTsect1.2.31.1.1Level 3 Topic He..."/>
    <w:basedOn w:val="5"/>
    <w:link w:val="170"/>
    <w:qFormat/>
    <w:uiPriority w:val="0"/>
    <w:pPr>
      <w:spacing w:line="400" w:lineRule="exact"/>
      <w:ind w:left="284"/>
    </w:pPr>
    <w:rPr>
      <w:bCs/>
    </w:rPr>
  </w:style>
  <w:style w:type="character" w:customStyle="1" w:styleId="172">
    <w:name w:val="样式 列表项目符号 2 + 段前: 0.3 行 Char Char"/>
    <w:link w:val="173"/>
    <w:qFormat/>
    <w:locked/>
    <w:uiPriority w:val="0"/>
    <w:rPr>
      <w:i/>
      <w:kern w:val="2"/>
      <w:sz w:val="21"/>
    </w:rPr>
  </w:style>
  <w:style w:type="paragraph" w:customStyle="1" w:styleId="173">
    <w:name w:val="样式 列表项目符号 2 + 段前: 0.3 行"/>
    <w:basedOn w:val="42"/>
    <w:link w:val="172"/>
    <w:qFormat/>
    <w:uiPriority w:val="0"/>
    <w:pPr>
      <w:tabs>
        <w:tab w:val="left" w:pos="1157"/>
        <w:tab w:val="clear" w:pos="780"/>
      </w:tabs>
      <w:spacing w:beforeLines="30"/>
      <w:ind w:left="1157" w:hanging="420"/>
    </w:pPr>
    <w:rPr>
      <w:i/>
      <w:szCs w:val="20"/>
    </w:rPr>
  </w:style>
  <w:style w:type="character" w:customStyle="1" w:styleId="174">
    <w:name w:val="宏文本 Char"/>
    <w:link w:val="2"/>
    <w:semiHidden/>
    <w:qFormat/>
    <w:locked/>
    <w:uiPriority w:val="0"/>
    <w:rPr>
      <w:rFonts w:ascii="Courier New" w:hAnsi="Courier New" w:cs="Courier New"/>
      <w:kern w:val="2"/>
      <w:sz w:val="24"/>
      <w:szCs w:val="24"/>
      <w:lang w:val="en-US" w:eastAsia="zh-CN" w:bidi="ar-SA"/>
    </w:rPr>
  </w:style>
  <w:style w:type="character" w:customStyle="1" w:styleId="175">
    <w:name w:val="日期 Char"/>
    <w:link w:val="52"/>
    <w:qFormat/>
    <w:locked/>
    <w:uiPriority w:val="0"/>
    <w:rPr>
      <w:kern w:val="2"/>
      <w:sz w:val="24"/>
    </w:rPr>
  </w:style>
  <w:style w:type="character" w:customStyle="1" w:styleId="176">
    <w:name w:val="信息标题 Char"/>
    <w:link w:val="81"/>
    <w:qFormat/>
    <w:locked/>
    <w:uiPriority w:val="0"/>
    <w:rPr>
      <w:rFonts w:ascii="Arial" w:hAnsi="Arial"/>
      <w:kern w:val="2"/>
      <w:sz w:val="24"/>
      <w:shd w:val="pct20" w:color="auto" w:fill="auto"/>
    </w:rPr>
  </w:style>
  <w:style w:type="character" w:customStyle="1" w:styleId="177">
    <w:name w:val="符号与编号 Char Char"/>
    <w:link w:val="178"/>
    <w:qFormat/>
    <w:locked/>
    <w:uiPriority w:val="0"/>
    <w:rPr>
      <w:kern w:val="2"/>
      <w:sz w:val="24"/>
    </w:rPr>
  </w:style>
  <w:style w:type="paragraph" w:customStyle="1" w:styleId="178">
    <w:name w:val="符号与编号"/>
    <w:basedOn w:val="1"/>
    <w:link w:val="177"/>
    <w:qFormat/>
    <w:uiPriority w:val="0"/>
    <w:pPr>
      <w:spacing w:afterLines="50" w:line="400" w:lineRule="atLeast"/>
      <w:jc w:val="left"/>
    </w:pPr>
    <w:rPr>
      <w:szCs w:val="20"/>
    </w:rPr>
  </w:style>
  <w:style w:type="character" w:customStyle="1" w:styleId="179">
    <w:name w:val="HTML 地址 Char"/>
    <w:link w:val="43"/>
    <w:qFormat/>
    <w:locked/>
    <w:uiPriority w:val="0"/>
    <w:rPr>
      <w:i/>
      <w:kern w:val="2"/>
      <w:sz w:val="24"/>
    </w:rPr>
  </w:style>
  <w:style w:type="character" w:customStyle="1" w:styleId="180">
    <w:name w:val="标题 5 Char"/>
    <w:link w:val="8"/>
    <w:qFormat/>
    <w:locked/>
    <w:uiPriority w:val="0"/>
    <w:rPr>
      <w:b/>
      <w:kern w:val="2"/>
      <w:sz w:val="28"/>
    </w:rPr>
  </w:style>
  <w:style w:type="character" w:customStyle="1" w:styleId="181">
    <w:name w:val="注释标题 Char1"/>
    <w:qFormat/>
    <w:uiPriority w:val="0"/>
    <w:rPr>
      <w:kern w:val="2"/>
      <w:sz w:val="24"/>
    </w:rPr>
  </w:style>
  <w:style w:type="character" w:customStyle="1" w:styleId="182">
    <w:name w:val="称呼 Char"/>
    <w:link w:val="31"/>
    <w:qFormat/>
    <w:locked/>
    <w:uiPriority w:val="0"/>
    <w:rPr>
      <w:kern w:val="2"/>
      <w:sz w:val="24"/>
    </w:rPr>
  </w:style>
  <w:style w:type="character" w:customStyle="1" w:styleId="183">
    <w:name w:val="签名 Char1"/>
    <w:qFormat/>
    <w:uiPriority w:val="0"/>
    <w:rPr>
      <w:kern w:val="2"/>
      <w:sz w:val="24"/>
    </w:rPr>
  </w:style>
  <w:style w:type="character" w:customStyle="1" w:styleId="184">
    <w:name w:val="封面大标题 Char Char"/>
    <w:link w:val="185"/>
    <w:qFormat/>
    <w:locked/>
    <w:uiPriority w:val="0"/>
    <w:rPr>
      <w:rFonts w:ascii="黑体" w:eastAsia="黑体"/>
      <w:b/>
      <w:kern w:val="2"/>
      <w:sz w:val="52"/>
    </w:rPr>
  </w:style>
  <w:style w:type="paragraph" w:customStyle="1" w:styleId="185">
    <w:name w:val="封面大标题"/>
    <w:basedOn w:val="1"/>
    <w:link w:val="184"/>
    <w:qFormat/>
    <w:uiPriority w:val="0"/>
    <w:pPr>
      <w:jc w:val="center"/>
    </w:pPr>
    <w:rPr>
      <w:rFonts w:ascii="黑体" w:eastAsia="黑体"/>
      <w:b/>
      <w:sz w:val="52"/>
      <w:szCs w:val="20"/>
    </w:rPr>
  </w:style>
  <w:style w:type="character" w:customStyle="1" w:styleId="186">
    <w:name w:val="结束语 Char1"/>
    <w:qFormat/>
    <w:uiPriority w:val="0"/>
    <w:rPr>
      <w:kern w:val="2"/>
      <w:sz w:val="24"/>
    </w:rPr>
  </w:style>
  <w:style w:type="character" w:customStyle="1" w:styleId="187">
    <w:name w:val="正文段落 Char Char"/>
    <w:link w:val="188"/>
    <w:qFormat/>
    <w:locked/>
    <w:uiPriority w:val="0"/>
    <w:rPr>
      <w:sz w:val="24"/>
    </w:rPr>
  </w:style>
  <w:style w:type="paragraph" w:customStyle="1" w:styleId="188">
    <w:name w:val="正文段落"/>
    <w:basedOn w:val="1"/>
    <w:link w:val="187"/>
    <w:qFormat/>
    <w:uiPriority w:val="0"/>
    <w:pPr>
      <w:spacing w:beforeLines="50" w:afterLines="50"/>
      <w:ind w:firstLine="420"/>
      <w:jc w:val="left"/>
    </w:pPr>
    <w:rPr>
      <w:kern w:val="0"/>
      <w:szCs w:val="20"/>
    </w:rPr>
  </w:style>
  <w:style w:type="character" w:customStyle="1" w:styleId="189">
    <w:name w:val="样式 标题 4H4heading 4Ref Heading 1rh1Heading sqlsect 1.2.3.4...1 Char Char"/>
    <w:link w:val="190"/>
    <w:qFormat/>
    <w:locked/>
    <w:uiPriority w:val="0"/>
    <w:rPr>
      <w:rFonts w:ascii="Arial" w:hAnsi="Arial" w:eastAsia="黑体"/>
      <w:b/>
      <w:kern w:val="2"/>
      <w:sz w:val="28"/>
    </w:rPr>
  </w:style>
  <w:style w:type="paragraph" w:customStyle="1" w:styleId="190">
    <w:name w:val="样式 标题 4H4heading 4Ref Heading 1rh1Heading sqlsect 1.2.3.4...1"/>
    <w:basedOn w:val="6"/>
    <w:link w:val="189"/>
    <w:qFormat/>
    <w:uiPriority w:val="0"/>
    <w:pPr>
      <w:adjustRightInd w:val="0"/>
      <w:ind w:left="0" w:firstLine="0"/>
    </w:pPr>
  </w:style>
  <w:style w:type="character" w:customStyle="1" w:styleId="191">
    <w:name w:val="访问过的超链接1"/>
    <w:qFormat/>
    <w:uiPriority w:val="0"/>
    <w:rPr>
      <w:color w:val="800080"/>
      <w:u w:val="single"/>
    </w:rPr>
  </w:style>
  <w:style w:type="character" w:customStyle="1" w:styleId="192">
    <w:name w:val="文本1"/>
    <w:qFormat/>
    <w:uiPriority w:val="0"/>
    <w:rPr>
      <w:rFonts w:ascii="宋体" w:hAnsi="宋体" w:eastAsia="宋体"/>
      <w:color w:val="990000"/>
      <w:sz w:val="20"/>
      <w:u w:val="none"/>
    </w:rPr>
  </w:style>
  <w:style w:type="character" w:customStyle="1" w:styleId="193">
    <w:name w:val="信息标题 Char1"/>
    <w:qFormat/>
    <w:uiPriority w:val="0"/>
    <w:rPr>
      <w:rFonts w:ascii="Cambria" w:hAnsi="Cambria" w:eastAsia="宋体"/>
      <w:kern w:val="2"/>
      <w:sz w:val="24"/>
      <w:shd w:val="pct20" w:color="auto" w:fill="auto"/>
    </w:rPr>
  </w:style>
  <w:style w:type="character" w:customStyle="1" w:styleId="194">
    <w:name w:val="HTML 预设格式 Char1"/>
    <w:qFormat/>
    <w:uiPriority w:val="0"/>
    <w:rPr>
      <w:rFonts w:ascii="Courier New" w:hAnsi="Courier New"/>
      <w:kern w:val="2"/>
    </w:rPr>
  </w:style>
  <w:style w:type="character" w:customStyle="1" w:styleId="195">
    <w:name w:val="正文文本 3 Char1"/>
    <w:qFormat/>
    <w:uiPriority w:val="0"/>
    <w:rPr>
      <w:kern w:val="2"/>
      <w:sz w:val="16"/>
    </w:rPr>
  </w:style>
  <w:style w:type="character" w:customStyle="1" w:styleId="196">
    <w:name w:val="正文文本 2 Char"/>
    <w:link w:val="78"/>
    <w:qFormat/>
    <w:locked/>
    <w:uiPriority w:val="0"/>
    <w:rPr>
      <w:kern w:val="2"/>
      <w:sz w:val="24"/>
    </w:rPr>
  </w:style>
  <w:style w:type="character" w:customStyle="1" w:styleId="197">
    <w:name w:val="尾注文本 Char1"/>
    <w:qFormat/>
    <w:uiPriority w:val="0"/>
    <w:rPr>
      <w:kern w:val="2"/>
      <w:sz w:val="24"/>
    </w:rPr>
  </w:style>
  <w:style w:type="character" w:customStyle="1" w:styleId="198">
    <w:name w:val="招标信息"/>
    <w:qFormat/>
    <w:uiPriority w:val="0"/>
    <w:rPr>
      <w:b/>
      <w:sz w:val="36"/>
    </w:rPr>
  </w:style>
  <w:style w:type="character" w:customStyle="1" w:styleId="199">
    <w:name w:val="样式 Arial 下划线"/>
    <w:qFormat/>
    <w:uiPriority w:val="0"/>
    <w:rPr>
      <w:rFonts w:ascii="Arial" w:hAnsi="Arial"/>
      <w:b/>
      <w:u w:val="single"/>
    </w:rPr>
  </w:style>
  <w:style w:type="character" w:customStyle="1" w:styleId="200">
    <w:name w:val="小四 段落 宋体 Char Char Char Char Char Char"/>
    <w:link w:val="201"/>
    <w:qFormat/>
    <w:locked/>
    <w:uiPriority w:val="0"/>
    <w:rPr>
      <w:rFonts w:ascii="宋体" w:eastAsia="宋体"/>
      <w:kern w:val="2"/>
      <w:sz w:val="24"/>
    </w:rPr>
  </w:style>
  <w:style w:type="paragraph" w:customStyle="1" w:styleId="201">
    <w:name w:val="小四 段落 宋体 Char Char"/>
    <w:basedOn w:val="1"/>
    <w:link w:val="200"/>
    <w:qFormat/>
    <w:uiPriority w:val="0"/>
    <w:pPr>
      <w:ind w:firstLine="480"/>
    </w:pPr>
    <w:rPr>
      <w:rFonts w:ascii="宋体"/>
      <w:szCs w:val="20"/>
    </w:rPr>
  </w:style>
  <w:style w:type="character" w:customStyle="1" w:styleId="202">
    <w:name w:val="HTML 地址 Char1"/>
    <w:qFormat/>
    <w:uiPriority w:val="0"/>
    <w:rPr>
      <w:i/>
      <w:kern w:val="2"/>
      <w:sz w:val="24"/>
    </w:rPr>
  </w:style>
  <w:style w:type="character" w:customStyle="1" w:styleId="203">
    <w:name w:val="正文首行缩进 Char1"/>
    <w:qFormat/>
    <w:uiPriority w:val="0"/>
    <w:rPr>
      <w:kern w:val="2"/>
      <w:sz w:val="24"/>
    </w:rPr>
  </w:style>
  <w:style w:type="character" w:customStyle="1" w:styleId="204">
    <w:name w:val="批注主题 Char"/>
    <w:link w:val="87"/>
    <w:qFormat/>
    <w:locked/>
    <w:uiPriority w:val="0"/>
    <w:rPr>
      <w:b/>
      <w:kern w:val="2"/>
      <w:sz w:val="24"/>
    </w:rPr>
  </w:style>
  <w:style w:type="character" w:customStyle="1" w:styleId="205">
    <w:name w:val="ES_正文 Char Char"/>
    <w:link w:val="206"/>
    <w:qFormat/>
    <w:locked/>
    <w:uiPriority w:val="0"/>
    <w:rPr>
      <w:kern w:val="2"/>
      <w:sz w:val="24"/>
    </w:rPr>
  </w:style>
  <w:style w:type="paragraph" w:customStyle="1" w:styleId="206">
    <w:name w:val="ES_正文"/>
    <w:basedOn w:val="1"/>
    <w:link w:val="205"/>
    <w:qFormat/>
    <w:uiPriority w:val="0"/>
    <w:pPr>
      <w:jc w:val="left"/>
    </w:pPr>
    <w:rPr>
      <w:szCs w:val="20"/>
    </w:rPr>
  </w:style>
  <w:style w:type="character" w:customStyle="1" w:styleId="207">
    <w:name w:val="电子邮件签名 Char"/>
    <w:link w:val="20"/>
    <w:qFormat/>
    <w:locked/>
    <w:uiPriority w:val="0"/>
    <w:rPr>
      <w:kern w:val="2"/>
      <w:sz w:val="24"/>
    </w:rPr>
  </w:style>
  <w:style w:type="character" w:customStyle="1" w:styleId="208">
    <w:name w:val="YZ首缩2.0 Char Char"/>
    <w:link w:val="162"/>
    <w:qFormat/>
    <w:locked/>
    <w:uiPriority w:val="0"/>
    <w:rPr>
      <w:kern w:val="2"/>
      <w:sz w:val="24"/>
    </w:rPr>
  </w:style>
  <w:style w:type="character" w:customStyle="1" w:styleId="209">
    <w:name w:val="文档结构图 Char"/>
    <w:link w:val="27"/>
    <w:qFormat/>
    <w:locked/>
    <w:uiPriority w:val="0"/>
    <w:rPr>
      <w:kern w:val="2"/>
      <w:sz w:val="24"/>
      <w:shd w:val="clear" w:color="auto" w:fill="000080"/>
    </w:rPr>
  </w:style>
  <w:style w:type="character" w:customStyle="1" w:styleId="210">
    <w:name w:val="textfont1"/>
    <w:qFormat/>
    <w:uiPriority w:val="0"/>
    <w:rPr>
      <w:spacing w:val="240"/>
      <w:sz w:val="22"/>
    </w:rPr>
  </w:style>
  <w:style w:type="character" w:customStyle="1" w:styleId="211">
    <w:name w:val="自定义正文 Char Char"/>
    <w:link w:val="212"/>
    <w:qFormat/>
    <w:locked/>
    <w:uiPriority w:val="0"/>
    <w:rPr>
      <w:kern w:val="2"/>
      <w:sz w:val="24"/>
    </w:rPr>
  </w:style>
  <w:style w:type="paragraph" w:customStyle="1" w:styleId="212">
    <w:name w:val="自定义正文"/>
    <w:basedOn w:val="1"/>
    <w:link w:val="211"/>
    <w:qFormat/>
    <w:uiPriority w:val="0"/>
    <w:pPr>
      <w:spacing w:afterLines="50"/>
      <w:jc w:val="left"/>
    </w:pPr>
    <w:rPr>
      <w:szCs w:val="20"/>
    </w:rPr>
  </w:style>
  <w:style w:type="character" w:customStyle="1" w:styleId="213">
    <w:name w:val="正文文本缩进 2 Char"/>
    <w:link w:val="53"/>
    <w:qFormat/>
    <w:locked/>
    <w:uiPriority w:val="0"/>
    <w:rPr>
      <w:kern w:val="2"/>
      <w:sz w:val="24"/>
    </w:rPr>
  </w:style>
  <w:style w:type="character" w:customStyle="1" w:styleId="214">
    <w:name w:val="下划线 Char Char"/>
    <w:link w:val="215"/>
    <w:qFormat/>
    <w:locked/>
    <w:uiPriority w:val="0"/>
    <w:rPr>
      <w:kern w:val="2"/>
      <w:sz w:val="24"/>
      <w:u w:val="single"/>
    </w:rPr>
  </w:style>
  <w:style w:type="paragraph" w:customStyle="1" w:styleId="215">
    <w:name w:val="下划线"/>
    <w:basedOn w:val="7"/>
    <w:link w:val="214"/>
    <w:qFormat/>
    <w:uiPriority w:val="0"/>
    <w:rPr>
      <w:u w:val="single"/>
    </w:rPr>
  </w:style>
  <w:style w:type="character" w:customStyle="1" w:styleId="216">
    <w:name w:val="标题 4 Char"/>
    <w:link w:val="6"/>
    <w:qFormat/>
    <w:locked/>
    <w:uiPriority w:val="0"/>
    <w:rPr>
      <w:rFonts w:ascii="Arial" w:hAnsi="Arial" w:eastAsia="黑体"/>
      <w:b/>
      <w:kern w:val="2"/>
      <w:sz w:val="28"/>
    </w:rPr>
  </w:style>
  <w:style w:type="character" w:customStyle="1" w:styleId="217">
    <w:name w:val="hei16b"/>
    <w:qFormat/>
    <w:uiPriority w:val="0"/>
  </w:style>
  <w:style w:type="character" w:customStyle="1" w:styleId="218">
    <w:name w:val="加重文字 Char Char"/>
    <w:link w:val="219"/>
    <w:qFormat/>
    <w:locked/>
    <w:uiPriority w:val="0"/>
    <w:rPr>
      <w:b/>
      <w:kern w:val="2"/>
      <w:sz w:val="24"/>
      <w:u w:val="thick"/>
    </w:rPr>
  </w:style>
  <w:style w:type="paragraph" w:customStyle="1" w:styleId="219">
    <w:name w:val="加重文字"/>
    <w:basedOn w:val="7"/>
    <w:link w:val="218"/>
    <w:qFormat/>
    <w:uiPriority w:val="0"/>
    <w:pPr>
      <w:ind w:firstLine="0" w:firstLineChars="0"/>
    </w:pPr>
    <w:rPr>
      <w:b/>
      <w:u w:val="thick"/>
    </w:rPr>
  </w:style>
  <w:style w:type="character" w:customStyle="1" w:styleId="220">
    <w:name w:val="段落文字 Char"/>
    <w:link w:val="221"/>
    <w:qFormat/>
    <w:locked/>
    <w:uiPriority w:val="0"/>
    <w:rPr>
      <w:kern w:val="2"/>
      <w:sz w:val="21"/>
    </w:rPr>
  </w:style>
  <w:style w:type="paragraph" w:customStyle="1" w:styleId="221">
    <w:name w:val="段落文字"/>
    <w:basedOn w:val="1"/>
    <w:link w:val="220"/>
    <w:qFormat/>
    <w:uiPriority w:val="0"/>
    <w:pPr>
      <w:ind w:firstLine="420"/>
    </w:pPr>
    <w:rPr>
      <w:szCs w:val="20"/>
    </w:rPr>
  </w:style>
  <w:style w:type="character" w:customStyle="1" w:styleId="222">
    <w:name w:val="注释标题 Char"/>
    <w:link w:val="17"/>
    <w:qFormat/>
    <w:locked/>
    <w:uiPriority w:val="0"/>
    <w:rPr>
      <w:kern w:val="2"/>
      <w:sz w:val="24"/>
    </w:rPr>
  </w:style>
  <w:style w:type="character" w:customStyle="1" w:styleId="223">
    <w:name w:val="称呼 Char1"/>
    <w:qFormat/>
    <w:uiPriority w:val="0"/>
    <w:rPr>
      <w:kern w:val="2"/>
      <w:sz w:val="24"/>
    </w:rPr>
  </w:style>
  <w:style w:type="character" w:customStyle="1" w:styleId="224">
    <w:name w:val="c141"/>
    <w:qFormat/>
    <w:uiPriority w:val="0"/>
    <w:rPr>
      <w:rFonts w:ascii="??" w:hAnsi="??"/>
      <w:color w:val="2E5C5C"/>
      <w:sz w:val="28"/>
    </w:rPr>
  </w:style>
  <w:style w:type="character" w:customStyle="1" w:styleId="225">
    <w:name w:val="ES_字段名 Char Char"/>
    <w:link w:val="226"/>
    <w:qFormat/>
    <w:locked/>
    <w:uiPriority w:val="0"/>
    <w:rPr>
      <w:rFonts w:ascii="楷体_GB2312" w:eastAsia="楷体_GB2312"/>
      <w:b/>
      <w:kern w:val="44"/>
      <w:sz w:val="21"/>
    </w:rPr>
  </w:style>
  <w:style w:type="paragraph" w:customStyle="1" w:styleId="226">
    <w:name w:val="ES_字段名"/>
    <w:basedOn w:val="1"/>
    <w:next w:val="1"/>
    <w:link w:val="225"/>
    <w:qFormat/>
    <w:uiPriority w:val="0"/>
    <w:pPr>
      <w:keepNext/>
      <w:widowControl/>
      <w:ind w:left="1260" w:leftChars="600"/>
      <w:jc w:val="left"/>
    </w:pPr>
    <w:rPr>
      <w:rFonts w:ascii="楷体_GB2312" w:eastAsia="楷体_GB2312"/>
      <w:b/>
      <w:kern w:val="44"/>
      <w:szCs w:val="20"/>
    </w:rPr>
  </w:style>
  <w:style w:type="character" w:customStyle="1" w:styleId="227">
    <w:name w:val="正文文本 Char1"/>
    <w:link w:val="35"/>
    <w:qFormat/>
    <w:locked/>
    <w:uiPriority w:val="0"/>
    <w:rPr>
      <w:kern w:val="2"/>
      <w:sz w:val="24"/>
    </w:rPr>
  </w:style>
  <w:style w:type="character" w:customStyle="1" w:styleId="228">
    <w:name w:val="表格正文 Char Char"/>
    <w:link w:val="229"/>
    <w:qFormat/>
    <w:locked/>
    <w:uiPriority w:val="0"/>
    <w:rPr>
      <w:rFonts w:eastAsia="楷体_GB2312"/>
      <w:kern w:val="2"/>
      <w:sz w:val="24"/>
    </w:rPr>
  </w:style>
  <w:style w:type="paragraph" w:customStyle="1" w:styleId="229">
    <w:name w:val="表格正文"/>
    <w:basedOn w:val="1"/>
    <w:link w:val="228"/>
    <w:qFormat/>
    <w:uiPriority w:val="0"/>
    <w:pPr>
      <w:spacing w:line="240" w:lineRule="atLeast"/>
    </w:pPr>
    <w:rPr>
      <w:rFonts w:eastAsia="楷体_GB2312"/>
      <w:szCs w:val="20"/>
    </w:rPr>
  </w:style>
  <w:style w:type="character" w:customStyle="1" w:styleId="230">
    <w:name w:val="正文文本缩进 Char"/>
    <w:qFormat/>
    <w:uiPriority w:val="0"/>
    <w:rPr>
      <w:rFonts w:ascii="Times New Roman" w:hAnsi="Times New Roman"/>
      <w:kern w:val="2"/>
      <w:sz w:val="24"/>
    </w:rPr>
  </w:style>
  <w:style w:type="character" w:customStyle="1" w:styleId="231">
    <w:name w:val="页眉 Char"/>
    <w:link w:val="59"/>
    <w:qFormat/>
    <w:locked/>
    <w:uiPriority w:val="0"/>
    <w:rPr>
      <w:kern w:val="2"/>
      <w:sz w:val="18"/>
    </w:rPr>
  </w:style>
  <w:style w:type="character" w:customStyle="1" w:styleId="232">
    <w:name w:val="标题 6 Char"/>
    <w:link w:val="9"/>
    <w:qFormat/>
    <w:locked/>
    <w:uiPriority w:val="0"/>
    <w:rPr>
      <w:rFonts w:ascii="Arial" w:hAnsi="Arial" w:eastAsia="黑体"/>
      <w:b/>
      <w:kern w:val="2"/>
      <w:sz w:val="24"/>
    </w:rPr>
  </w:style>
  <w:style w:type="character" w:customStyle="1" w:styleId="233">
    <w:name w:val="文档结构图 Char1"/>
    <w:qFormat/>
    <w:uiPriority w:val="0"/>
    <w:rPr>
      <w:rFonts w:ascii="宋体"/>
      <w:kern w:val="2"/>
      <w:sz w:val="18"/>
    </w:rPr>
  </w:style>
  <w:style w:type="character" w:customStyle="1" w:styleId="234">
    <w:name w:val="正文首行缩进 2 Char"/>
    <w:link w:val="88"/>
    <w:qFormat/>
    <w:locked/>
    <w:uiPriority w:val="0"/>
  </w:style>
  <w:style w:type="character" w:customStyle="1" w:styleId="235">
    <w:name w:val="标题 1 Char"/>
    <w:link w:val="3"/>
    <w:qFormat/>
    <w:locked/>
    <w:uiPriority w:val="0"/>
    <w:rPr>
      <w:rFonts w:eastAsia="黑体"/>
      <w:b/>
      <w:kern w:val="44"/>
      <w:sz w:val="44"/>
    </w:rPr>
  </w:style>
  <w:style w:type="character" w:customStyle="1" w:styleId="236">
    <w:name w:val="Char Char1"/>
    <w:qFormat/>
    <w:uiPriority w:val="0"/>
    <w:rPr>
      <w:rFonts w:ascii="Arial" w:hAnsi="Arial" w:eastAsia="黑体"/>
      <w:b/>
      <w:kern w:val="2"/>
      <w:sz w:val="32"/>
      <w:lang w:val="en-US" w:eastAsia="zh-CN"/>
    </w:rPr>
  </w:style>
  <w:style w:type="character" w:customStyle="1" w:styleId="237">
    <w:name w:val="正文首行缩进 2 Char1"/>
    <w:qFormat/>
    <w:uiPriority w:val="0"/>
    <w:rPr>
      <w:kern w:val="2"/>
      <w:sz w:val="24"/>
    </w:rPr>
  </w:style>
  <w:style w:type="character" w:customStyle="1" w:styleId="238">
    <w:name w:val="小节"/>
    <w:qFormat/>
    <w:uiPriority w:val="0"/>
    <w:rPr>
      <w:rFonts w:eastAsia="宋体"/>
      <w:b/>
      <w:kern w:val="2"/>
      <w:sz w:val="32"/>
      <w:lang w:val="en-US" w:eastAsia="zh-CN"/>
    </w:rPr>
  </w:style>
  <w:style w:type="character" w:customStyle="1" w:styleId="239">
    <w:name w:val="正文文本 2 Char1"/>
    <w:qFormat/>
    <w:uiPriority w:val="0"/>
    <w:rPr>
      <w:kern w:val="2"/>
      <w:sz w:val="24"/>
    </w:rPr>
  </w:style>
  <w:style w:type="character" w:customStyle="1" w:styleId="240">
    <w:name w:val="结束语 Char"/>
    <w:link w:val="33"/>
    <w:qFormat/>
    <w:locked/>
    <w:uiPriority w:val="0"/>
    <w:rPr>
      <w:kern w:val="2"/>
      <w:sz w:val="24"/>
    </w:rPr>
  </w:style>
  <w:style w:type="character" w:customStyle="1" w:styleId="241">
    <w:name w:val="Char Char Char Char Char"/>
    <w:qFormat/>
    <w:uiPriority w:val="0"/>
    <w:rPr>
      <w:rFonts w:eastAsia="宋体"/>
      <w:b/>
      <w:kern w:val="2"/>
      <w:sz w:val="28"/>
      <w:lang w:val="en-US" w:eastAsia="zh-CN"/>
    </w:rPr>
  </w:style>
  <w:style w:type="character" w:customStyle="1" w:styleId="242">
    <w:name w:val="电子邮件签名 Char1"/>
    <w:qFormat/>
    <w:uiPriority w:val="0"/>
    <w:rPr>
      <w:kern w:val="2"/>
      <w:sz w:val="24"/>
    </w:rPr>
  </w:style>
  <w:style w:type="character" w:customStyle="1" w:styleId="243">
    <w:name w:val="标题 2 Char"/>
    <w:link w:val="4"/>
    <w:qFormat/>
    <w:locked/>
    <w:uiPriority w:val="0"/>
    <w:rPr>
      <w:rFonts w:ascii="Arial" w:hAnsi="Arial" w:eastAsia="黑体"/>
      <w:b/>
      <w:kern w:val="2"/>
      <w:sz w:val="32"/>
    </w:rPr>
  </w:style>
  <w:style w:type="paragraph" w:customStyle="1" w:styleId="244">
    <w:name w:val="样式 宋体 首行缩进:  0.74 厘米"/>
    <w:basedOn w:val="1"/>
    <w:qFormat/>
    <w:uiPriority w:val="0"/>
    <w:rPr>
      <w:rFonts w:ascii="宋体" w:hAnsi="宋体" w:cs="宋体"/>
      <w:color w:val="000000"/>
      <w:szCs w:val="21"/>
    </w:rPr>
  </w:style>
  <w:style w:type="paragraph" w:customStyle="1" w:styleId="245">
    <w:name w:val="正文@0418Yuan"/>
    <w:basedOn w:val="1"/>
    <w:next w:val="1"/>
    <w:qFormat/>
    <w:uiPriority w:val="0"/>
    <w:pPr>
      <w:ind w:firstLine="720" w:firstLineChars="300"/>
    </w:pPr>
    <w:rPr>
      <w:rFonts w:cs="宋体"/>
      <w:szCs w:val="20"/>
    </w:rPr>
  </w:style>
  <w:style w:type="paragraph" w:customStyle="1" w:styleId="246">
    <w:name w:val="Body text Char"/>
    <w:basedOn w:val="1"/>
    <w:qFormat/>
    <w:uiPriority w:val="0"/>
    <w:pPr>
      <w:widowControl/>
      <w:jc w:val="left"/>
    </w:pPr>
    <w:rPr>
      <w:rFonts w:ascii="Arial" w:hAnsi="Arial"/>
      <w:color w:val="000000"/>
      <w:kern w:val="20"/>
      <w:sz w:val="20"/>
      <w:szCs w:val="20"/>
    </w:rPr>
  </w:style>
  <w:style w:type="paragraph" w:customStyle="1" w:styleId="247">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248">
    <w:name w:val="font0"/>
    <w:basedOn w:val="1"/>
    <w:qFormat/>
    <w:uiPriority w:val="0"/>
    <w:pPr>
      <w:widowControl/>
      <w:spacing w:before="100" w:beforeAutospacing="1" w:after="100" w:afterAutospacing="1"/>
      <w:jc w:val="left"/>
    </w:pPr>
    <w:rPr>
      <w:rFonts w:ascii="宋体" w:hAnsi="宋体"/>
      <w:kern w:val="0"/>
    </w:rPr>
  </w:style>
  <w:style w:type="paragraph" w:customStyle="1" w:styleId="249">
    <w:name w:val="7"/>
    <w:basedOn w:val="1"/>
    <w:next w:val="22"/>
    <w:qFormat/>
    <w:uiPriority w:val="0"/>
    <w:pPr>
      <w:widowControl/>
      <w:ind w:firstLine="420"/>
      <w:jc w:val="left"/>
    </w:pPr>
    <w:rPr>
      <w:rFonts w:ascii="宋体" w:hAnsi="宋体"/>
      <w:kern w:val="0"/>
    </w:rPr>
  </w:style>
  <w:style w:type="paragraph" w:customStyle="1" w:styleId="250">
    <w:name w:val="分类说明"/>
    <w:basedOn w:val="1"/>
    <w:qFormat/>
    <w:uiPriority w:val="0"/>
  </w:style>
  <w:style w:type="paragraph" w:customStyle="1" w:styleId="251">
    <w:name w:val="样式1"/>
    <w:basedOn w:val="6"/>
    <w:qFormat/>
    <w:uiPriority w:val="0"/>
    <w:pPr>
      <w:ind w:left="1728" w:hanging="648"/>
    </w:pPr>
  </w:style>
  <w:style w:type="paragraph" w:customStyle="1" w:styleId="252">
    <w:name w:val="FCH Bid缩进1"/>
    <w:basedOn w:val="1"/>
    <w:qFormat/>
    <w:uiPriority w:val="0"/>
    <w:pPr>
      <w:tabs>
        <w:tab w:val="left" w:pos="540"/>
        <w:tab w:val="left" w:pos="1140"/>
      </w:tabs>
      <w:snapToGrid w:val="0"/>
      <w:spacing w:beforeLines="50" w:line="288" w:lineRule="auto"/>
      <w:ind w:left="540" w:hanging="540"/>
    </w:pPr>
  </w:style>
  <w:style w:type="paragraph" w:customStyle="1" w:styleId="25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4">
    <w:name w:val="样式 文件发布日期"/>
    <w:basedOn w:val="1"/>
    <w:qFormat/>
    <w:uiPriority w:val="0"/>
    <w:pPr>
      <w:widowControl/>
      <w:spacing w:beforeLines="100" w:afterLines="100"/>
      <w:jc w:val="right"/>
    </w:pPr>
    <w:rPr>
      <w:b/>
      <w:bCs/>
      <w:kern w:val="0"/>
      <w:sz w:val="30"/>
      <w:szCs w:val="30"/>
    </w:rPr>
  </w:style>
  <w:style w:type="paragraph" w:customStyle="1" w:styleId="255">
    <w:name w:val="样式 标题 3h33rd levelHeading 3 - oldH3Fab-3level_3PIM 3Leve..."/>
    <w:basedOn w:val="5"/>
    <w:qFormat/>
    <w:uiPriority w:val="0"/>
    <w:pPr>
      <w:widowControl/>
      <w:tabs>
        <w:tab w:val="left" w:pos="1055"/>
        <w:tab w:val="left" w:pos="1200"/>
      </w:tabs>
      <w:spacing w:before="156" w:after="156"/>
      <w:ind w:left="1200" w:hanging="360"/>
    </w:pPr>
    <w:rPr>
      <w:rFonts w:ascii="楷体_GB2312" w:hAnsi="Arial" w:eastAsia="楷体_GB2312" w:cs="宋体"/>
      <w:b w:val="0"/>
      <w:bCs/>
      <w:spacing w:val="-5"/>
      <w:kern w:val="28"/>
      <w:sz w:val="28"/>
    </w:rPr>
  </w:style>
  <w:style w:type="paragraph" w:customStyle="1" w:styleId="256">
    <w:name w:val="小四 段落 宋体 Char Char Char Char"/>
    <w:basedOn w:val="1"/>
    <w:qFormat/>
    <w:uiPriority w:val="0"/>
    <w:pPr>
      <w:ind w:firstLine="480"/>
    </w:pPr>
    <w:rPr>
      <w:rFonts w:ascii="宋体" w:hAnsi="宋体" w:eastAsia="新宋体"/>
    </w:rPr>
  </w:style>
  <w:style w:type="paragraph" w:customStyle="1" w:styleId="257">
    <w:name w:val="样式 首行缩进:  2 字符"/>
    <w:basedOn w:val="1"/>
    <w:qFormat/>
    <w:uiPriority w:val="0"/>
    <w:pPr>
      <w:spacing w:line="400" w:lineRule="exact"/>
    </w:pPr>
    <w:rPr>
      <w:rFonts w:cs="宋体"/>
    </w:rPr>
  </w:style>
  <w:style w:type="paragraph" w:customStyle="1" w:styleId="258">
    <w:name w:val="YZ图片居中"/>
    <w:basedOn w:val="1"/>
    <w:qFormat/>
    <w:uiPriority w:val="0"/>
    <w:pPr>
      <w:jc w:val="center"/>
    </w:pPr>
    <w:rPr>
      <w:rFonts w:cs="宋体"/>
      <w:szCs w:val="20"/>
    </w:rPr>
  </w:style>
  <w:style w:type="paragraph" w:customStyle="1" w:styleId="259">
    <w:name w:val="图片"/>
    <w:basedOn w:val="1"/>
    <w:next w:val="23"/>
    <w:qFormat/>
    <w:uiPriority w:val="0"/>
    <w:pPr>
      <w:keepNext/>
      <w:widowControl/>
      <w:ind w:firstLine="476"/>
      <w:jc w:val="left"/>
    </w:pPr>
    <w:rPr>
      <w:spacing w:val="-5"/>
      <w:kern w:val="0"/>
      <w:szCs w:val="20"/>
    </w:rPr>
  </w:style>
  <w:style w:type="paragraph" w:customStyle="1" w:styleId="260">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样式 文件编号"/>
    <w:basedOn w:val="1"/>
    <w:qFormat/>
    <w:uiPriority w:val="0"/>
    <w:pPr>
      <w:widowControl/>
      <w:spacing w:beforeLines="100" w:afterLines="100"/>
      <w:jc w:val="right"/>
    </w:pPr>
    <w:rPr>
      <w:b/>
      <w:bCs/>
      <w:kern w:val="0"/>
      <w:sz w:val="30"/>
      <w:szCs w:val="20"/>
    </w:rPr>
  </w:style>
  <w:style w:type="paragraph" w:customStyle="1" w:styleId="263">
    <w:name w:val="纯文本1"/>
    <w:basedOn w:val="1"/>
    <w:next w:val="1"/>
    <w:qFormat/>
    <w:uiPriority w:val="0"/>
    <w:pPr>
      <w:widowControl/>
    </w:pPr>
    <w:rPr>
      <w:rFonts w:ascii="宋体"/>
      <w:color w:val="000000"/>
      <w:szCs w:val="20"/>
    </w:rPr>
  </w:style>
  <w:style w:type="paragraph" w:customStyle="1" w:styleId="26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2级标题"/>
    <w:basedOn w:val="4"/>
    <w:qFormat/>
    <w:uiPriority w:val="0"/>
    <w:pPr>
      <w:keepNext w:val="0"/>
      <w:keepLines w:val="0"/>
      <w:widowControl/>
      <w:tabs>
        <w:tab w:val="left" w:pos="576"/>
      </w:tabs>
      <w:jc w:val="left"/>
    </w:pPr>
    <w:rPr>
      <w:rFonts w:ascii="宋体" w:hAnsi="宋体" w:eastAsia="宋体"/>
      <w:sz w:val="24"/>
      <w:szCs w:val="24"/>
    </w:rPr>
  </w:style>
  <w:style w:type="paragraph" w:customStyle="1" w:styleId="266">
    <w:name w:val="正文首行缩进两字符"/>
    <w:basedOn w:val="1"/>
    <w:qFormat/>
    <w:uiPriority w:val="0"/>
  </w:style>
  <w:style w:type="paragraph" w:customStyle="1" w:styleId="267">
    <w:name w:val="xl25"/>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268">
    <w:name w:val="表格标题"/>
    <w:basedOn w:val="1"/>
    <w:qFormat/>
    <w:uiPriority w:val="0"/>
    <w:pPr>
      <w:jc w:val="center"/>
    </w:pPr>
    <w:rPr>
      <w:rFonts w:ascii="宋体" w:hAnsi="宋体"/>
      <w:b/>
      <w:bCs/>
      <w:kern w:val="0"/>
    </w:rPr>
  </w:style>
  <w:style w:type="paragraph" w:customStyle="1" w:styleId="269">
    <w:name w:val="表格"/>
    <w:basedOn w:val="1"/>
    <w:qFormat/>
    <w:uiPriority w:val="0"/>
    <w:pPr>
      <w:spacing w:line="400" w:lineRule="exact"/>
    </w:pPr>
  </w:style>
  <w:style w:type="paragraph" w:customStyle="1" w:styleId="270">
    <w:name w:val="xl4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1">
    <w:name w:val="样式 版本号"/>
    <w:basedOn w:val="1"/>
    <w:qFormat/>
    <w:uiPriority w:val="0"/>
    <w:pPr>
      <w:widowControl/>
      <w:spacing w:beforeLines="100" w:afterLines="100"/>
      <w:jc w:val="right"/>
    </w:pPr>
    <w:rPr>
      <w:rFonts w:ascii="宋体" w:hAnsi="宋体"/>
      <w:b/>
      <w:bCs/>
      <w:kern w:val="0"/>
      <w:sz w:val="30"/>
      <w:szCs w:val="30"/>
    </w:rPr>
  </w:style>
  <w:style w:type="paragraph" w:customStyle="1" w:styleId="27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3">
    <w:name w:val="样式 标题 4H4sect 1.2.3.4Ref Heading 1rh1Heading sql4th level..."/>
    <w:basedOn w:val="6"/>
    <w:qFormat/>
    <w:uiPriority w:val="0"/>
    <w:pPr>
      <w:widowControl/>
      <w:tabs>
        <w:tab w:val="left" w:pos="1197"/>
        <w:tab w:val="clear" w:pos="1006"/>
      </w:tabs>
      <w:spacing w:before="0" w:after="0"/>
      <w:ind w:left="1200" w:hanging="360"/>
    </w:pPr>
    <w:rPr>
      <w:rFonts w:ascii="楷体_GB2312" w:hAnsi="楷体_GB2312" w:eastAsia="楷体_GB2312" w:cs="宋体"/>
      <w:b w:val="0"/>
      <w:bCs/>
      <w:spacing w:val="-2"/>
      <w:kern w:val="28"/>
    </w:rPr>
  </w:style>
  <w:style w:type="paragraph" w:customStyle="1" w:styleId="274">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5">
    <w:name w:val="自定义表格文字"/>
    <w:basedOn w:val="1"/>
    <w:qFormat/>
    <w:uiPriority w:val="0"/>
    <w:pPr>
      <w:spacing w:before="60" w:after="60" w:line="320" w:lineRule="exact"/>
      <w:jc w:val="left"/>
    </w:pPr>
    <w:rPr>
      <w:rFonts w:ascii="宋体" w:eastAsia="仿宋_GB2312"/>
    </w:rPr>
  </w:style>
  <w:style w:type="paragraph" w:customStyle="1" w:styleId="276">
    <w:name w:val="Char Char3 Char Char Char Char"/>
    <w:basedOn w:val="1"/>
    <w:next w:val="1"/>
    <w:qFormat/>
    <w:uiPriority w:val="0"/>
    <w:pPr>
      <w:widowControl/>
      <w:jc w:val="left"/>
    </w:pPr>
    <w:rPr>
      <w:kern w:val="0"/>
      <w:szCs w:val="20"/>
      <w:lang w:eastAsia="en-US"/>
    </w:rPr>
  </w:style>
  <w:style w:type="paragraph" w:customStyle="1" w:styleId="277">
    <w:name w:val="reader-word-layer reader-word-s2-16"/>
    <w:basedOn w:val="1"/>
    <w:qFormat/>
    <w:uiPriority w:val="0"/>
    <w:pPr>
      <w:widowControl/>
      <w:spacing w:before="100" w:beforeAutospacing="1" w:after="100" w:afterAutospacing="1"/>
      <w:jc w:val="left"/>
    </w:pPr>
    <w:rPr>
      <w:rFonts w:ascii="宋体" w:hAnsi="宋体" w:cs="宋体"/>
      <w:kern w:val="0"/>
    </w:rPr>
  </w:style>
  <w:style w:type="paragraph" w:customStyle="1" w:styleId="278">
    <w:name w:val="样式 标题 2h22Header 2l2Level 2 HeadH2Small Chapter)Reshdr2..."/>
    <w:basedOn w:val="4"/>
    <w:qFormat/>
    <w:uiPriority w:val="0"/>
    <w:pPr>
      <w:widowControl/>
      <w:tabs>
        <w:tab w:val="left" w:pos="913"/>
        <w:tab w:val="left" w:pos="1200"/>
      </w:tabs>
      <w:spacing w:before="0" w:after="0"/>
      <w:ind w:left="1200" w:hanging="360"/>
      <w:jc w:val="left"/>
    </w:pPr>
    <w:rPr>
      <w:rFonts w:ascii="楷体_GB2312" w:eastAsia="楷体_GB2312" w:cs="宋体"/>
      <w:spacing w:val="-5"/>
      <w:kern w:val="0"/>
    </w:rPr>
  </w:style>
  <w:style w:type="paragraph" w:customStyle="1" w:styleId="279">
    <w:name w:val="Table Text"/>
    <w:basedOn w:val="1"/>
    <w:qFormat/>
    <w:uiPriority w:val="0"/>
    <w:pPr>
      <w:widowControl/>
      <w:spacing w:before="60" w:after="60"/>
      <w:jc w:val="left"/>
    </w:pPr>
    <w:rPr>
      <w:kern w:val="0"/>
    </w:rPr>
  </w:style>
  <w:style w:type="paragraph" w:customStyle="1" w:styleId="280">
    <w:name w:val="样式4"/>
    <w:basedOn w:val="5"/>
    <w:qFormat/>
    <w:uiPriority w:val="0"/>
    <w:pPr>
      <w:tabs>
        <w:tab w:val="left" w:pos="1751"/>
        <w:tab w:val="left" w:pos="2667"/>
      </w:tabs>
      <w:ind w:left="2667" w:hanging="420"/>
    </w:pPr>
    <w:rPr>
      <w:rFonts w:ascii="Arial" w:hAnsi="Arial"/>
    </w:rPr>
  </w:style>
  <w:style w:type="paragraph" w:customStyle="1" w:styleId="281">
    <w:name w:val="文件名称"/>
    <w:basedOn w:val="1"/>
    <w:qFormat/>
    <w:uiPriority w:val="0"/>
    <w:pPr>
      <w:widowControl/>
      <w:spacing w:before="240" w:after="240"/>
      <w:jc w:val="right"/>
    </w:pPr>
    <w:rPr>
      <w:rFonts w:eastAsia="华文新魏"/>
      <w:b/>
      <w:kern w:val="0"/>
      <w:sz w:val="52"/>
      <w:szCs w:val="72"/>
    </w:rPr>
  </w:style>
  <w:style w:type="paragraph" w:customStyle="1" w:styleId="282">
    <w:name w:val="xl26"/>
    <w:basedOn w:val="1"/>
    <w:qFormat/>
    <w:uiPriority w:val="0"/>
    <w:pPr>
      <w:widowControl/>
      <w:spacing w:before="100" w:beforeAutospacing="1" w:after="100" w:afterAutospacing="1"/>
      <w:jc w:val="left"/>
      <w:textAlignment w:val="center"/>
    </w:pPr>
    <w:rPr>
      <w:rFonts w:ascii="宋体" w:hAnsi="宋体"/>
      <w:b/>
      <w:bCs/>
      <w:kern w:val="0"/>
      <w:sz w:val="20"/>
      <w:szCs w:val="20"/>
    </w:rPr>
  </w:style>
  <w:style w:type="paragraph" w:customStyle="1" w:styleId="283">
    <w:name w:val="样式 标题 1 + (中文) 黑体 小二 黑色 两端对齐 段前: 16 行"/>
    <w:basedOn w:val="3"/>
    <w:qFormat/>
    <w:uiPriority w:val="0"/>
    <w:pPr>
      <w:keepNext w:val="0"/>
      <w:keepLines w:val="0"/>
      <w:spacing w:before="0" w:after="0"/>
      <w:ind w:left="750" w:hanging="750"/>
    </w:pPr>
    <w:rPr>
      <w:rFonts w:ascii="宋体" w:hAnsi="宋体"/>
      <w:color w:val="000000"/>
      <w:sz w:val="24"/>
      <w:szCs w:val="24"/>
    </w:rPr>
  </w:style>
  <w:style w:type="paragraph" w:customStyle="1" w:styleId="284">
    <w:name w:val="8"/>
    <w:basedOn w:val="1"/>
    <w:next w:val="22"/>
    <w:qFormat/>
    <w:uiPriority w:val="0"/>
    <w:pPr>
      <w:widowControl/>
      <w:ind w:firstLine="420"/>
      <w:jc w:val="left"/>
    </w:pPr>
    <w:rPr>
      <w:rFonts w:ascii="宋体" w:hAnsi="宋体"/>
      <w:kern w:val="0"/>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6">
    <w:name w:val="pic"/>
    <w:basedOn w:val="1"/>
    <w:qFormat/>
    <w:uiPriority w:val="0"/>
    <w:pPr>
      <w:adjustRightInd w:val="0"/>
      <w:jc w:val="left"/>
    </w:pPr>
    <w:rPr>
      <w:rFonts w:cs="宋体"/>
      <w:szCs w:val="20"/>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16"/>
      <w:szCs w:val="16"/>
    </w:rPr>
  </w:style>
  <w:style w:type="paragraph" w:customStyle="1" w:styleId="288">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289">
    <w:name w:val="列表数字1）"/>
    <w:next w:val="36"/>
    <w:qFormat/>
    <w:uiPriority w:val="0"/>
    <w:pPr>
      <w:tabs>
        <w:tab w:val="left" w:pos="425"/>
        <w:tab w:val="left" w:pos="814"/>
        <w:tab w:val="left" w:pos="900"/>
      </w:tabs>
      <w:spacing w:line="360" w:lineRule="auto"/>
      <w:ind w:left="425" w:hanging="425"/>
    </w:pPr>
    <w:rPr>
      <w:rFonts w:ascii="Times New Roman" w:hAnsi="Times New Roman" w:eastAsia="宋体" w:cs="Times New Roman"/>
      <w:sz w:val="24"/>
      <w:lang w:val="en-US" w:eastAsia="zh-CN" w:bidi="ar-SA"/>
    </w:rPr>
  </w:style>
  <w:style w:type="paragraph" w:customStyle="1" w:styleId="290">
    <w:name w:val="样式 标题 4H4heading 4Ref Heading 1rh1Heading sqlsect 1.2.3.4..."/>
    <w:basedOn w:val="6"/>
    <w:qFormat/>
    <w:uiPriority w:val="0"/>
    <w:pPr>
      <w:spacing w:beforeLines="50" w:afterLines="50"/>
      <w:ind w:left="567" w:hanging="567"/>
    </w:pPr>
    <w:rPr>
      <w:rFonts w:cs="宋体"/>
    </w:rPr>
  </w:style>
  <w:style w:type="paragraph" w:customStyle="1" w:styleId="291">
    <w:name w:val="xl4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2">
    <w:name w:val="pic居中"/>
    <w:basedOn w:val="1"/>
    <w:qFormat/>
    <w:uiPriority w:val="0"/>
    <w:pPr>
      <w:jc w:val="center"/>
    </w:pPr>
    <w:rPr>
      <w:rFonts w:cs="宋体"/>
      <w:szCs w:val="20"/>
    </w:rPr>
  </w:style>
  <w:style w:type="paragraph" w:customStyle="1" w:styleId="293">
    <w:name w:val="报告正文"/>
    <w:basedOn w:val="35"/>
    <w:qFormat/>
    <w:uiPriority w:val="0"/>
    <w:pPr>
      <w:tabs>
        <w:tab w:val="left" w:pos="771"/>
        <w:tab w:val="left" w:pos="1140"/>
      </w:tabs>
      <w:adjustRightInd w:val="0"/>
      <w:spacing w:after="0"/>
      <w:ind w:left="771" w:right="240" w:rightChars="100" w:hanging="425"/>
      <w:textAlignment w:val="baseline"/>
    </w:pPr>
  </w:style>
  <w:style w:type="paragraph" w:customStyle="1" w:styleId="294">
    <w:name w:val="FCH 缩进2"/>
    <w:basedOn w:val="1"/>
    <w:qFormat/>
    <w:uiPriority w:val="0"/>
    <w:pPr>
      <w:widowControl/>
      <w:tabs>
        <w:tab w:val="left" w:pos="540"/>
        <w:tab w:val="left" w:pos="840"/>
      </w:tabs>
      <w:spacing w:beforeLines="20" w:line="288" w:lineRule="auto"/>
      <w:ind w:left="540"/>
      <w:jc w:val="left"/>
    </w:pPr>
    <w:rPr>
      <w:kern w:val="0"/>
    </w:rPr>
  </w:style>
  <w:style w:type="paragraph" w:customStyle="1" w:styleId="295">
    <w:name w:val="项目编号"/>
    <w:basedOn w:val="262"/>
    <w:qFormat/>
    <w:uiPriority w:val="0"/>
  </w:style>
  <w:style w:type="paragraph" w:customStyle="1" w:styleId="296">
    <w:name w:val="列出段落3"/>
    <w:basedOn w:val="1"/>
    <w:qFormat/>
    <w:uiPriority w:val="0"/>
    <w:pPr>
      <w:ind w:firstLine="420"/>
    </w:pPr>
    <w:rPr>
      <w:rFonts w:ascii="Calibri" w:hAnsi="Calibri"/>
      <w:szCs w:val="22"/>
    </w:rPr>
  </w:style>
  <w:style w:type="paragraph" w:customStyle="1" w:styleId="297">
    <w:name w:val="xl2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98">
    <w:name w:val="Char"/>
    <w:basedOn w:val="1"/>
    <w:qFormat/>
    <w:uiPriority w:val="0"/>
    <w:rPr>
      <w:rFonts w:ascii="Tahoma" w:hAnsi="Tahoma"/>
      <w:szCs w:val="20"/>
    </w:rPr>
  </w:style>
  <w:style w:type="paragraph" w:customStyle="1" w:styleId="299">
    <w:name w:val="表格内容"/>
    <w:qFormat/>
    <w:uiPriority w:val="0"/>
    <w:pPr>
      <w:spacing w:line="360" w:lineRule="auto"/>
      <w:jc w:val="center"/>
    </w:pPr>
    <w:rPr>
      <w:rFonts w:ascii="Times New Roman" w:hAnsi="Times New Roman" w:eastAsia="宋体" w:cs="宋体"/>
      <w:kern w:val="2"/>
      <w:sz w:val="24"/>
      <w:lang w:val="en-US" w:eastAsia="zh-CN" w:bidi="ar-SA"/>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301">
    <w:name w:val="xl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16"/>
      <w:szCs w:val="16"/>
    </w:rPr>
  </w:style>
  <w:style w:type="paragraph" w:customStyle="1" w:styleId="302">
    <w:name w:val="正文加重首行缩进2字"/>
    <w:basedOn w:val="135"/>
    <w:qFormat/>
    <w:uiPriority w:val="0"/>
    <w:pPr>
      <w:snapToGrid/>
      <w:spacing w:line="360" w:lineRule="auto"/>
      <w:ind w:left="378" w:leftChars="180" w:firstLine="359" w:firstLineChars="171"/>
    </w:pPr>
    <w:rPr>
      <w:rFonts w:ascii="宋体" w:hAnsi="宋体" w:eastAsia="宋体"/>
      <w:bCs/>
      <w:kern w:val="0"/>
      <w:sz w:val="21"/>
      <w:szCs w:val="21"/>
    </w:rPr>
  </w:style>
  <w:style w:type="paragraph" w:customStyle="1" w:styleId="303">
    <w:name w:val="封面标题"/>
    <w:basedOn w:val="304"/>
    <w:qFormat/>
    <w:uiPriority w:val="0"/>
    <w:rPr>
      <w:sz w:val="72"/>
    </w:rPr>
  </w:style>
  <w:style w:type="paragraph" w:customStyle="1" w:styleId="304">
    <w:name w:val="封面"/>
    <w:basedOn w:val="1"/>
    <w:qFormat/>
    <w:uiPriority w:val="0"/>
    <w:pPr>
      <w:spacing w:line="480" w:lineRule="auto"/>
      <w:jc w:val="center"/>
    </w:pPr>
    <w:rPr>
      <w:rFonts w:eastAsia="黑体" w:cs="宋体"/>
      <w:b/>
      <w:bCs/>
      <w:sz w:val="48"/>
      <w:szCs w:val="20"/>
    </w:rPr>
  </w:style>
  <w:style w:type="paragraph" w:customStyle="1" w:styleId="305">
    <w:name w:val="我的样式"/>
    <w:basedOn w:val="1"/>
    <w:qFormat/>
    <w:uiPriority w:val="0"/>
    <w:pPr>
      <w:widowControl/>
      <w:spacing w:before="50" w:line="300" w:lineRule="auto"/>
      <w:ind w:firstLine="454"/>
      <w:jc w:val="left"/>
    </w:pPr>
    <w:rPr>
      <w:rFonts w:ascii="宋体" w:hAnsi="宋体"/>
      <w:color w:val="000000"/>
      <w:kern w:val="0"/>
      <w:szCs w:val="20"/>
    </w:rPr>
  </w:style>
  <w:style w:type="paragraph" w:customStyle="1" w:styleId="306">
    <w:name w:val="图表标题"/>
    <w:basedOn w:val="1"/>
    <w:qFormat/>
    <w:uiPriority w:val="0"/>
    <w:pPr>
      <w:spacing w:before="100" w:beforeAutospacing="1" w:after="100" w:afterAutospacing="1"/>
      <w:jc w:val="center"/>
    </w:pPr>
    <w:rPr>
      <w:rFonts w:eastAsia="楷体_GB2312"/>
      <w:sz w:val="28"/>
    </w:rPr>
  </w:style>
  <w:style w:type="paragraph" w:customStyle="1" w:styleId="307">
    <w:name w:val="标书_正文"/>
    <w:basedOn w:val="1"/>
    <w:qFormat/>
    <w:uiPriority w:val="0"/>
    <w:rPr>
      <w:rFonts w:ascii="宋体"/>
      <w:kern w:val="0"/>
      <w:szCs w:val="20"/>
    </w:rPr>
  </w:style>
  <w:style w:type="paragraph" w:customStyle="1" w:styleId="308">
    <w:name w:val="规范正文"/>
    <w:basedOn w:val="1"/>
    <w:qFormat/>
    <w:uiPriority w:val="0"/>
    <w:pPr>
      <w:tabs>
        <w:tab w:val="left" w:pos="900"/>
        <w:tab w:val="left" w:pos="2931"/>
      </w:tabs>
      <w:adjustRightInd w:val="0"/>
      <w:ind w:left="2931" w:hanging="425"/>
      <w:textAlignment w:val="baseline"/>
    </w:pPr>
    <w:rPr>
      <w:b/>
      <w:kern w:val="0"/>
      <w:szCs w:val="20"/>
    </w:rPr>
  </w:style>
  <w:style w:type="paragraph" w:customStyle="1" w:styleId="309">
    <w:name w:val="样式 标题 1H1PIM 1Section Headh1l11H11H12H111H13H1121st ..."/>
    <w:basedOn w:val="3"/>
    <w:qFormat/>
    <w:uiPriority w:val="0"/>
    <w:pPr>
      <w:tabs>
        <w:tab w:val="left" w:pos="831"/>
        <w:tab w:val="left" w:pos="2040"/>
        <w:tab w:val="left" w:pos="2931"/>
      </w:tabs>
      <w:spacing w:line="240" w:lineRule="auto"/>
      <w:ind w:left="635" w:leftChars="100" w:right="210" w:rightChars="100" w:hanging="360"/>
    </w:pPr>
    <w:rPr>
      <w:rFonts w:cs="宋体"/>
    </w:rPr>
  </w:style>
  <w:style w:type="paragraph" w:customStyle="1" w:styleId="310">
    <w:name w:val="列出段落11"/>
    <w:basedOn w:val="1"/>
    <w:qFormat/>
    <w:uiPriority w:val="0"/>
    <w:pPr>
      <w:ind w:firstLine="420"/>
    </w:pPr>
    <w:rPr>
      <w:rFonts w:ascii="Calibri" w:hAnsi="Calibri" w:cs="黑体"/>
      <w:szCs w:val="22"/>
    </w:rPr>
  </w:style>
  <w:style w:type="paragraph" w:customStyle="1" w:styleId="311">
    <w:name w:val="Char Char Char"/>
    <w:basedOn w:val="1"/>
    <w:qFormat/>
    <w:uiPriority w:val="0"/>
    <w:rPr>
      <w:rFonts w:ascii="Tahoma" w:hAnsi="Tahoma"/>
      <w:szCs w:val="20"/>
    </w:rPr>
  </w:style>
  <w:style w:type="paragraph" w:customStyle="1" w:styleId="31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14">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16"/>
      <w:szCs w:val="16"/>
    </w:rPr>
  </w:style>
  <w:style w:type="paragraph" w:customStyle="1" w:styleId="315">
    <w:name w:val="样式2"/>
    <w:basedOn w:val="4"/>
    <w:qFormat/>
    <w:uiPriority w:val="0"/>
    <w:pPr>
      <w:tabs>
        <w:tab w:val="left" w:pos="360"/>
        <w:tab w:val="left" w:pos="992"/>
      </w:tabs>
      <w:ind w:left="360" w:hanging="360"/>
    </w:pPr>
    <w:rPr>
      <w:rFonts w:eastAsia="宋体"/>
      <w:sz w:val="30"/>
    </w:rPr>
  </w:style>
  <w:style w:type="paragraph" w:customStyle="1" w:styleId="316">
    <w:name w:val="大全正文"/>
    <w:basedOn w:val="1"/>
    <w:qFormat/>
    <w:uiPriority w:val="0"/>
    <w:pPr>
      <w:autoSpaceDE w:val="0"/>
      <w:autoSpaceDN w:val="0"/>
      <w:adjustRightInd w:val="0"/>
      <w:spacing w:beforeLines="50"/>
      <w:ind w:firstLine="225" w:firstLineChars="225"/>
      <w:jc w:val="left"/>
    </w:pPr>
    <w:rPr>
      <w:rFonts w:ascii="宋体"/>
      <w:kern w:val="0"/>
    </w:rPr>
  </w:style>
  <w:style w:type="paragraph" w:customStyle="1" w:styleId="317">
    <w:name w:val="样式 样式 标题 1H1PIM 1Section Headh1l11H11H12H111H13H1121st ... + 右侧:..."/>
    <w:basedOn w:val="309"/>
    <w:qFormat/>
    <w:uiPriority w:val="0"/>
    <w:pPr>
      <w:ind w:left="831"/>
    </w:pPr>
    <w:rPr>
      <w:rFonts w:ascii="Arial" w:hAnsi="Arial"/>
      <w:szCs w:val="44"/>
    </w:rPr>
  </w:style>
  <w:style w:type="paragraph" w:customStyle="1" w:styleId="318">
    <w:name w:val="文档正文"/>
    <w:basedOn w:val="1"/>
    <w:qFormat/>
    <w:uiPriority w:val="0"/>
    <w:pPr>
      <w:spacing w:beforeLines="50" w:afterLines="50" w:line="240" w:lineRule="atLeast"/>
      <w:ind w:left="420" w:firstLine="4" w:firstLineChars="2"/>
    </w:pPr>
    <w:rPr>
      <w:rFonts w:hAnsi="宋体"/>
      <w:bCs/>
      <w:szCs w:val="21"/>
      <w:lang w:val="zh-CN"/>
    </w:rPr>
  </w:style>
  <w:style w:type="paragraph" w:customStyle="1" w:styleId="319">
    <w:name w:val="修订1"/>
    <w:qFormat/>
    <w:uiPriority w:val="0"/>
    <w:rPr>
      <w:rFonts w:ascii="Times New Roman" w:hAnsi="Times New Roman" w:eastAsia="宋体" w:cs="Times New Roman"/>
      <w:kern w:val="2"/>
      <w:sz w:val="21"/>
      <w:szCs w:val="24"/>
      <w:lang w:val="en-US" w:eastAsia="zh-CN" w:bidi="ar-SA"/>
    </w:rPr>
  </w:style>
  <w:style w:type="paragraph" w:customStyle="1" w:styleId="320">
    <w:name w:val="样式 标题 2H2Underrubrik1prop2h2l22nd levelTitre22Header 2...1"/>
    <w:basedOn w:val="4"/>
    <w:qFormat/>
    <w:uiPriority w:val="0"/>
    <w:pPr>
      <w:tabs>
        <w:tab w:val="left" w:pos="576"/>
      </w:tabs>
      <w:spacing w:before="50" w:after="50" w:line="376" w:lineRule="auto"/>
      <w:jc w:val="left"/>
    </w:pPr>
    <w:rPr>
      <w:rFonts w:ascii="黑体" w:hAnsi="Times New Roman" w:cs="宋体"/>
    </w:rPr>
  </w:style>
  <w:style w:type="paragraph" w:customStyle="1" w:styleId="321">
    <w:name w:val="表格文字"/>
    <w:basedOn w:val="1"/>
    <w:qFormat/>
    <w:uiPriority w:val="0"/>
    <w:pPr>
      <w:spacing w:before="25" w:after="25"/>
      <w:jc w:val="left"/>
    </w:pPr>
    <w:rPr>
      <w:bCs/>
      <w:spacing w:val="10"/>
      <w:kern w:val="0"/>
      <w:szCs w:val="20"/>
    </w:rPr>
  </w:style>
  <w:style w:type="paragraph" w:customStyle="1" w:styleId="322">
    <w:name w:val="样式 标题 6PIM 6H6h6Third Subheading + (符号) Arial 左侧:  1 字符 右侧..."/>
    <w:basedOn w:val="9"/>
    <w:qFormat/>
    <w:uiPriority w:val="0"/>
    <w:pPr>
      <w:widowControl/>
      <w:tabs>
        <w:tab w:val="left" w:pos="1200"/>
        <w:tab w:val="left" w:pos="1480"/>
        <w:tab w:val="left" w:pos="2340"/>
        <w:tab w:val="clear" w:pos="1152"/>
        <w:tab w:val="clear" w:pos="1440"/>
      </w:tabs>
      <w:adjustRightInd/>
      <w:spacing w:before="0" w:after="0" w:line="360" w:lineRule="auto"/>
      <w:ind w:left="1200" w:right="230" w:rightChars="100" w:hanging="940"/>
    </w:pPr>
    <w:rPr>
      <w:rFonts w:ascii="Times New Roman" w:eastAsia="楷体_GB2312" w:cs="宋体"/>
      <w:b w:val="0"/>
      <w:bCs/>
      <w:spacing w:val="-4"/>
      <w:kern w:val="28"/>
      <w:sz w:val="28"/>
    </w:rPr>
  </w:style>
  <w:style w:type="paragraph" w:customStyle="1" w:styleId="323">
    <w:name w:val="庄制定的正文"/>
    <w:basedOn w:val="1"/>
    <w:qFormat/>
    <w:uiPriority w:val="0"/>
    <w:pPr>
      <w:spacing w:after="50"/>
      <w:ind w:firstLine="454"/>
    </w:pPr>
    <w:rPr>
      <w:rFonts w:ascii="宋体" w:hAnsi="宋体" w:cs="宋体"/>
      <w:kern w:val="44"/>
      <w:szCs w:val="20"/>
    </w:rPr>
  </w:style>
  <w:style w:type="paragraph" w:customStyle="1" w:styleId="324">
    <w:name w:val="Char Char Char1 Char"/>
    <w:basedOn w:val="27"/>
    <w:qFormat/>
    <w:uiPriority w:val="0"/>
    <w:rPr>
      <w:rFonts w:ascii="Tahoma" w:hAnsi="Tahoma" w:cs="Tahoma"/>
      <w:kern w:val="0"/>
      <w:sz w:val="18"/>
    </w:rPr>
  </w:style>
  <w:style w:type="paragraph" w:customStyle="1" w:styleId="325">
    <w:name w:val="图"/>
    <w:basedOn w:val="1"/>
    <w:next w:val="1"/>
    <w:qFormat/>
    <w:uiPriority w:val="0"/>
    <w:pPr>
      <w:jc w:val="right"/>
    </w:pPr>
    <w:rPr>
      <w:rFonts w:ascii="宋体" w:hAnsi="宋体"/>
      <w:b/>
    </w:rPr>
  </w:style>
  <w:style w:type="paragraph" w:customStyle="1" w:styleId="3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7">
    <w:name w:val="ByLine"/>
    <w:basedOn w:val="86"/>
    <w:qFormat/>
    <w:uiPriority w:val="0"/>
    <w:pPr>
      <w:widowControl/>
      <w:spacing w:after="720"/>
      <w:jc w:val="right"/>
      <w:outlineLvl w:val="9"/>
    </w:pPr>
    <w:rPr>
      <w:rFonts w:ascii="Arial" w:hAnsi="Arial"/>
      <w:bCs/>
      <w:kern w:val="28"/>
      <w:sz w:val="28"/>
    </w:rPr>
  </w:style>
  <w:style w:type="paragraph" w:customStyle="1" w:styleId="328">
    <w:name w:val="表内容"/>
    <w:qFormat/>
    <w:uiPriority w:val="0"/>
    <w:rPr>
      <w:rFonts w:ascii="宋体" w:hAnsi="Times New Roman" w:eastAsia="宋体" w:cs="Times New Roman"/>
      <w:kern w:val="21"/>
      <w:sz w:val="24"/>
      <w:szCs w:val="24"/>
      <w:lang w:val="en-US" w:eastAsia="zh-CN" w:bidi="ar-SA"/>
    </w:rPr>
  </w:style>
  <w:style w:type="paragraph" w:customStyle="1" w:styleId="329">
    <w:name w:val="样式 标题 2H2h22Header 2l2Level 2 HeadSmall Chapter)Reshdr2..."/>
    <w:basedOn w:val="1"/>
    <w:qFormat/>
    <w:uiPriority w:val="0"/>
  </w:style>
  <w:style w:type="paragraph" w:customStyle="1" w:styleId="330">
    <w:name w:val="样式 小四 行距: 1.5 倍行距 首行缩进:  2 字符"/>
    <w:basedOn w:val="1"/>
    <w:qFormat/>
    <w:uiPriority w:val="0"/>
    <w:pPr>
      <w:ind w:firstLine="480"/>
    </w:pPr>
    <w:rPr>
      <w:rFonts w:cs="宋体"/>
      <w:szCs w:val="20"/>
    </w:rPr>
  </w:style>
  <w:style w:type="paragraph" w:customStyle="1" w:styleId="331">
    <w:name w:val="正文符号2"/>
    <w:basedOn w:val="332"/>
    <w:qFormat/>
    <w:uiPriority w:val="0"/>
    <w:pPr>
      <w:tabs>
        <w:tab w:val="left" w:pos="360"/>
        <w:tab w:val="left" w:pos="987"/>
        <w:tab w:val="left" w:pos="1080"/>
      </w:tabs>
      <w:snapToGrid/>
      <w:spacing w:line="360" w:lineRule="auto"/>
      <w:ind w:left="180" w:leftChars="180" w:hanging="360"/>
    </w:pPr>
    <w:rPr>
      <w:rFonts w:ascii="宋体" w:hAnsi="宋体" w:eastAsia="宋体"/>
      <w:kern w:val="0"/>
      <w:sz w:val="21"/>
      <w:szCs w:val="21"/>
    </w:rPr>
  </w:style>
  <w:style w:type="paragraph" w:customStyle="1" w:styleId="332">
    <w:name w:val="正文符号1"/>
    <w:basedOn w:val="135"/>
    <w:qFormat/>
    <w:uiPriority w:val="0"/>
    <w:pPr>
      <w:tabs>
        <w:tab w:val="left" w:pos="987"/>
        <w:tab w:val="left" w:pos="1080"/>
      </w:tabs>
      <w:ind w:left="987" w:hanging="420" w:firstLineChars="0"/>
    </w:pPr>
    <w:rPr>
      <w:kern w:val="44"/>
    </w:rPr>
  </w:style>
  <w:style w:type="paragraph" w:customStyle="1" w:styleId="333">
    <w:name w:val="Char1"/>
    <w:basedOn w:val="1"/>
    <w:qFormat/>
    <w:uiPriority w:val="0"/>
  </w:style>
  <w:style w:type="paragraph" w:customStyle="1" w:styleId="334">
    <w:name w:val="默认段落字体 Para Char"/>
    <w:basedOn w:val="1"/>
    <w:qFormat/>
    <w:uiPriority w:val="0"/>
    <w:pPr>
      <w:adjustRightInd w:val="0"/>
    </w:pPr>
    <w:rPr>
      <w:kern w:val="0"/>
      <w:szCs w:val="20"/>
    </w:rPr>
  </w:style>
  <w:style w:type="paragraph" w:customStyle="1" w:styleId="335">
    <w:name w:val="Char3"/>
    <w:basedOn w:val="1"/>
    <w:qFormat/>
    <w:uiPriority w:val="0"/>
    <w:pPr>
      <w:tabs>
        <w:tab w:val="left" w:pos="425"/>
      </w:tabs>
      <w:ind w:left="425" w:hanging="425"/>
    </w:pPr>
  </w:style>
  <w:style w:type="paragraph" w:customStyle="1" w:styleId="336">
    <w:name w:val="样式 首行缩进:  2 字符 段前: 0.5 行 段后: 0.5 行"/>
    <w:basedOn w:val="1"/>
    <w:qFormat/>
    <w:uiPriority w:val="0"/>
    <w:pPr>
      <w:spacing w:beforeLines="50" w:afterLines="50"/>
      <w:ind w:firstLine="420"/>
      <w:jc w:val="left"/>
    </w:pPr>
    <w:rPr>
      <w:rFonts w:cs="宋体"/>
    </w:rPr>
  </w:style>
  <w:style w:type="paragraph" w:customStyle="1" w:styleId="337">
    <w:name w:val="样式 标准文本 + 加粗 下划线"/>
    <w:basedOn w:val="7"/>
    <w:qFormat/>
    <w:uiPriority w:val="0"/>
    <w:pPr>
      <w:ind w:firstLine="482"/>
    </w:pPr>
    <w:rPr>
      <w:rFonts w:ascii="宋体" w:hAnsi="Arial Narrow"/>
      <w:b/>
      <w:bCs/>
    </w:rPr>
  </w:style>
  <w:style w:type="paragraph" w:customStyle="1" w:styleId="338">
    <w:name w:val="xl2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0"/>
      <w:szCs w:val="20"/>
    </w:rPr>
  </w:style>
  <w:style w:type="paragraph" w:customStyle="1" w:styleId="339">
    <w:name w:val="Byline"/>
    <w:basedOn w:val="1"/>
    <w:next w:val="1"/>
    <w:qFormat/>
    <w:uiPriority w:val="0"/>
    <w:pPr>
      <w:widowControl/>
      <w:spacing w:after="120" w:line="200" w:lineRule="exact"/>
      <w:ind w:right="-357"/>
      <w:jc w:val="left"/>
    </w:pPr>
    <w:rPr>
      <w:rFonts w:ascii="Arial" w:hAnsi="Arial" w:cs="Arial"/>
      <w:i/>
      <w:iCs/>
      <w:kern w:val="0"/>
      <w:sz w:val="20"/>
      <w:szCs w:val="20"/>
      <w:lang w:eastAsia="en-US"/>
    </w:rPr>
  </w:style>
  <w:style w:type="paragraph" w:customStyle="1" w:styleId="340">
    <w:name w:val="样式 标题 2h2Heading 2 HiddenHeading 2 CCBSl2heading 2I22nd l...2"/>
    <w:basedOn w:val="1"/>
    <w:qFormat/>
    <w:uiPriority w:val="0"/>
    <w:pPr>
      <w:tabs>
        <w:tab w:val="left" w:pos="1183"/>
        <w:tab w:val="left" w:pos="2040"/>
        <w:tab w:val="left" w:pos="3073"/>
      </w:tabs>
      <w:ind w:left="567" w:leftChars="100" w:right="210" w:rightChars="100" w:hanging="360"/>
    </w:pPr>
    <w:rPr>
      <w:rFonts w:ascii="Arial" w:hAnsi="Arial"/>
      <w:b/>
      <w:sz w:val="32"/>
      <w:szCs w:val="32"/>
    </w:rPr>
  </w:style>
  <w:style w:type="paragraph" w:customStyle="1" w:styleId="341">
    <w:name w:val="样式3"/>
    <w:basedOn w:val="1"/>
    <w:qFormat/>
    <w:uiPriority w:val="0"/>
    <w:pPr>
      <w:spacing w:after="120"/>
      <w:ind w:firstLine="425"/>
      <w:outlineLvl w:val="2"/>
    </w:pPr>
    <w:rPr>
      <w:b/>
      <w:sz w:val="28"/>
      <w:szCs w:val="20"/>
    </w:rPr>
  </w:style>
  <w:style w:type="paragraph" w:customStyle="1" w:styleId="342">
    <w:name w:val="Char2"/>
    <w:basedOn w:val="1"/>
    <w:qFormat/>
    <w:uiPriority w:val="0"/>
    <w:rPr>
      <w:rFonts w:ascii="Tahoma" w:hAnsi="Tahoma"/>
      <w:szCs w:val="20"/>
    </w:rPr>
  </w:style>
  <w:style w:type="paragraph" w:customStyle="1" w:styleId="343">
    <w:name w:val="Pa8"/>
    <w:basedOn w:val="1"/>
    <w:next w:val="1"/>
    <w:qFormat/>
    <w:uiPriority w:val="0"/>
    <w:pPr>
      <w:autoSpaceDE w:val="0"/>
      <w:autoSpaceDN w:val="0"/>
      <w:adjustRightInd w:val="0"/>
      <w:spacing w:line="181" w:lineRule="atLeast"/>
      <w:jc w:val="left"/>
    </w:pPr>
    <w:rPr>
      <w:rFonts w:ascii="文鼎..槨.." w:eastAsia="文鼎..槨.."/>
      <w:kern w:val="0"/>
    </w:rPr>
  </w:style>
  <w:style w:type="paragraph" w:customStyle="1" w:styleId="344">
    <w:name w:val="正文(标准)"/>
    <w:basedOn w:val="1"/>
    <w:qFormat/>
    <w:uiPriority w:val="0"/>
    <w:pPr>
      <w:tabs>
        <w:tab w:val="left" w:pos="420"/>
      </w:tabs>
      <w:ind w:left="420" w:hanging="420"/>
    </w:pPr>
  </w:style>
  <w:style w:type="paragraph" w:customStyle="1" w:styleId="345">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6">
    <w:name w:val="List Bullet1"/>
    <w:basedOn w:val="1"/>
    <w:qFormat/>
    <w:uiPriority w:val="0"/>
    <w:pPr>
      <w:widowControl/>
      <w:tabs>
        <w:tab w:val="left" w:pos="900"/>
        <w:tab w:val="left" w:pos="984"/>
      </w:tabs>
      <w:spacing w:before="240" w:after="120" w:line="288" w:lineRule="auto"/>
      <w:ind w:left="981" w:right="57" w:hanging="357"/>
      <w:jc w:val="left"/>
    </w:pPr>
    <w:rPr>
      <w:kern w:val="0"/>
    </w:rPr>
  </w:style>
  <w:style w:type="paragraph" w:customStyle="1" w:styleId="347">
    <w:name w:val="reader-word-layer reader-word-s2-25"/>
    <w:basedOn w:val="1"/>
    <w:qFormat/>
    <w:uiPriority w:val="0"/>
    <w:pPr>
      <w:widowControl/>
      <w:spacing w:before="100" w:beforeAutospacing="1" w:after="100" w:afterAutospacing="1"/>
      <w:jc w:val="left"/>
    </w:pPr>
    <w:rPr>
      <w:rFonts w:ascii="宋体" w:hAnsi="宋体" w:cs="宋体"/>
      <w:kern w:val="0"/>
    </w:rPr>
  </w:style>
  <w:style w:type="paragraph" w:customStyle="1" w:styleId="348">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49">
    <w:name w:val="作者"/>
    <w:basedOn w:val="1"/>
    <w:qFormat/>
    <w:uiPriority w:val="0"/>
    <w:pPr>
      <w:widowControl/>
      <w:spacing w:beforeLines="100" w:afterLines="100"/>
      <w:jc w:val="right"/>
    </w:pPr>
    <w:rPr>
      <w:rFonts w:ascii="宋体" w:hAnsi="宋体"/>
      <w:b/>
      <w:kern w:val="0"/>
      <w:sz w:val="30"/>
      <w:szCs w:val="30"/>
    </w:rPr>
  </w:style>
  <w:style w:type="paragraph" w:customStyle="1" w:styleId="350">
    <w:name w:val="样式 标题 5H5ITT t5PA Pico Section5H5-Heading 5h5l5heading5...1"/>
    <w:basedOn w:val="8"/>
    <w:qFormat/>
    <w:uiPriority w:val="0"/>
    <w:pPr>
      <w:widowControl/>
      <w:tabs>
        <w:tab w:val="left" w:pos="1200"/>
        <w:tab w:val="left" w:pos="1338"/>
        <w:tab w:val="left" w:pos="1800"/>
        <w:tab w:val="clear" w:pos="1008"/>
      </w:tabs>
      <w:spacing w:before="0" w:after="0" w:line="360" w:lineRule="auto"/>
      <w:ind w:left="1200" w:hanging="360"/>
      <w:jc w:val="left"/>
    </w:pPr>
    <w:rPr>
      <w:rFonts w:ascii="楷体_GB2312" w:hAnsi="楷体_GB2312" w:eastAsia="楷体_GB2312"/>
      <w:b w:val="0"/>
      <w:bCs/>
      <w:spacing w:val="-2"/>
      <w:kern w:val="28"/>
    </w:rPr>
  </w:style>
  <w:style w:type="paragraph" w:customStyle="1" w:styleId="351">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kern w:val="0"/>
      <w:sz w:val="16"/>
      <w:szCs w:val="16"/>
    </w:rPr>
  </w:style>
  <w:style w:type="paragraph" w:customStyle="1" w:styleId="352">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53">
    <w:name w:val="列出段落2"/>
    <w:basedOn w:val="1"/>
    <w:qFormat/>
    <w:uiPriority w:val="0"/>
    <w:pPr>
      <w:ind w:firstLine="420"/>
    </w:pPr>
    <w:rPr>
      <w:rFonts w:ascii="Calibri" w:hAnsi="Calibri" w:cs="黑体"/>
      <w:szCs w:val="20"/>
    </w:rPr>
  </w:style>
  <w:style w:type="paragraph" w:customStyle="1" w:styleId="354">
    <w:name w:val="xl24"/>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55">
    <w:name w:val="reader-word-layer reader-word-s2-24"/>
    <w:basedOn w:val="1"/>
    <w:qFormat/>
    <w:uiPriority w:val="0"/>
    <w:pPr>
      <w:widowControl/>
      <w:spacing w:before="100" w:beforeAutospacing="1" w:after="100" w:afterAutospacing="1"/>
      <w:jc w:val="left"/>
    </w:pPr>
    <w:rPr>
      <w:rFonts w:ascii="宋体" w:hAnsi="宋体" w:cs="宋体"/>
      <w:kern w:val="0"/>
    </w:rPr>
  </w:style>
  <w:style w:type="paragraph" w:customStyle="1" w:styleId="356">
    <w:name w:val="Char Char Char Char Char Char Char Char Char Char"/>
    <w:basedOn w:val="27"/>
    <w:qFormat/>
    <w:uiPriority w:val="0"/>
    <w:rPr>
      <w:rFonts w:ascii="Tahoma" w:hAnsi="Tahoma"/>
    </w:rPr>
  </w:style>
  <w:style w:type="paragraph" w:customStyle="1" w:styleId="357">
    <w:name w:val="样式 项目名称"/>
    <w:basedOn w:val="1"/>
    <w:qFormat/>
    <w:uiPriority w:val="0"/>
    <w:pPr>
      <w:widowControl/>
      <w:spacing w:beforeLines="100" w:afterLines="100"/>
      <w:jc w:val="right"/>
    </w:pPr>
    <w:rPr>
      <w:rFonts w:eastAsia="华文新魏"/>
      <w:b/>
      <w:bCs/>
      <w:kern w:val="0"/>
      <w:sz w:val="52"/>
      <w:szCs w:val="20"/>
      <w:lang w:eastAsia="en-US"/>
    </w:rPr>
  </w:style>
  <w:style w:type="paragraph" w:customStyle="1" w:styleId="358">
    <w:name w:val="目录标题"/>
    <w:next w:val="1"/>
    <w:qFormat/>
    <w:uiPriority w:val="0"/>
    <w:pPr>
      <w:spacing w:before="120" w:after="120" w:line="600" w:lineRule="exact"/>
      <w:ind w:left="301"/>
      <w:jc w:val="center"/>
    </w:pPr>
    <w:rPr>
      <w:rFonts w:ascii="宋体" w:hAnsi="宋体" w:eastAsia="宋体" w:cs="Times New Roman"/>
      <w:b/>
      <w:sz w:val="36"/>
      <w:szCs w:val="96"/>
      <w:lang w:val="en-US" w:eastAsia="zh-CN" w:bidi="ar-SA"/>
    </w:rPr>
  </w:style>
  <w:style w:type="paragraph" w:customStyle="1" w:styleId="359">
    <w:name w:val="图表"/>
    <w:basedOn w:val="1"/>
    <w:qFormat/>
    <w:uiPriority w:val="0"/>
    <w:pPr>
      <w:jc w:val="center"/>
    </w:pPr>
    <w:rPr>
      <w:rFonts w:ascii="宋体" w:hAnsi="宋体"/>
      <w:bCs/>
      <w:smallCaps/>
      <w:szCs w:val="36"/>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kern w:val="0"/>
      <w:sz w:val="16"/>
      <w:szCs w:val="16"/>
    </w:rPr>
  </w:style>
  <w:style w:type="paragraph" w:customStyle="1" w:styleId="36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36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3">
    <w:name w:val="样式 标题 1DocAccpt(Chapter Nbr)PIM 1H1123321Title1卷标题aa章标题..."/>
    <w:basedOn w:val="3"/>
    <w:qFormat/>
    <w:uiPriority w:val="0"/>
    <w:pPr>
      <w:widowControl/>
      <w:tabs>
        <w:tab w:val="left" w:pos="771"/>
        <w:tab w:val="left" w:pos="1200"/>
      </w:tabs>
      <w:spacing w:before="0" w:after="220"/>
      <w:ind w:left="1200" w:hanging="360"/>
      <w:jc w:val="left"/>
    </w:pPr>
    <w:rPr>
      <w:rFonts w:ascii="楷体_GB2312" w:hAnsi="楷体_GB2312" w:eastAsia="楷体_GB2312"/>
      <w:spacing w:val="-10"/>
      <w:kern w:val="28"/>
      <w:sz w:val="36"/>
    </w:rPr>
  </w:style>
  <w:style w:type="paragraph" w:customStyle="1" w:styleId="364">
    <w:name w:val="样式 标准文本"/>
    <w:basedOn w:val="7"/>
    <w:qFormat/>
    <w:uiPriority w:val="0"/>
    <w:rPr>
      <w:bCs/>
    </w:rPr>
  </w:style>
  <w:style w:type="paragraph" w:customStyle="1" w:styleId="36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reader-word-layer reader-word-s2-26"/>
    <w:basedOn w:val="1"/>
    <w:qFormat/>
    <w:uiPriority w:val="0"/>
    <w:pPr>
      <w:widowControl/>
      <w:spacing w:before="100" w:beforeAutospacing="1" w:after="100" w:afterAutospacing="1"/>
      <w:jc w:val="left"/>
    </w:pPr>
    <w:rPr>
      <w:rFonts w:ascii="宋体" w:hAnsi="宋体" w:cs="宋体"/>
      <w:kern w:val="0"/>
    </w:rPr>
  </w:style>
  <w:style w:type="paragraph" w:customStyle="1" w:styleId="367">
    <w:name w:val="Char1 Char Char Char"/>
    <w:basedOn w:val="1"/>
    <w:qFormat/>
    <w:uiPriority w:val="0"/>
    <w:pPr>
      <w:adjustRightInd w:val="0"/>
    </w:pPr>
    <w:rPr>
      <w:kern w:val="0"/>
    </w:rPr>
  </w:style>
  <w:style w:type="paragraph" w:customStyle="1" w:styleId="368">
    <w:name w:val="xl27"/>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0"/>
      <w:szCs w:val="20"/>
    </w:rPr>
  </w:style>
  <w:style w:type="paragraph" w:customStyle="1" w:styleId="369">
    <w:name w:val="样式9"/>
    <w:basedOn w:val="8"/>
    <w:qFormat/>
    <w:uiPriority w:val="0"/>
    <w:pPr>
      <w:tabs>
        <w:tab w:val="left" w:pos="1260"/>
        <w:tab w:val="left" w:pos="1407"/>
        <w:tab w:val="clear" w:pos="1008"/>
      </w:tabs>
      <w:spacing w:before="120" w:after="120" w:line="360" w:lineRule="auto"/>
      <w:ind w:left="1407"/>
    </w:pPr>
    <w:rPr>
      <w:sz w:val="24"/>
    </w:rPr>
  </w:style>
  <w:style w:type="paragraph" w:customStyle="1" w:styleId="370">
    <w:name w:val="p0"/>
    <w:basedOn w:val="1"/>
    <w:qFormat/>
    <w:uiPriority w:val="0"/>
    <w:pPr>
      <w:widowControl/>
    </w:pPr>
    <w:rPr>
      <w:kern w:val="0"/>
      <w:szCs w:val="21"/>
    </w:rPr>
  </w:style>
  <w:style w:type="paragraph" w:customStyle="1" w:styleId="371">
    <w:name w:val="plaintext"/>
    <w:basedOn w:val="1"/>
    <w:qFormat/>
    <w:uiPriority w:val="0"/>
    <w:pPr>
      <w:widowControl/>
      <w:spacing w:before="100" w:beforeAutospacing="1" w:after="100" w:afterAutospacing="1"/>
      <w:jc w:val="left"/>
    </w:pPr>
    <w:rPr>
      <w:rFonts w:ascii="宋体" w:hAnsi="宋体"/>
      <w:kern w:val="0"/>
    </w:rPr>
  </w:style>
  <w:style w:type="paragraph" w:customStyle="1" w:styleId="372">
    <w:name w:val="无间隔2"/>
    <w:basedOn w:val="1"/>
    <w:link w:val="373"/>
    <w:qFormat/>
    <w:uiPriority w:val="0"/>
    <w:pPr>
      <w:spacing w:line="240" w:lineRule="auto"/>
      <w:ind w:firstLine="0" w:firstLineChars="0"/>
      <w:jc w:val="left"/>
    </w:pPr>
    <w:rPr>
      <w:rFonts w:ascii="宋体" w:hAnsi="宋体"/>
    </w:rPr>
  </w:style>
  <w:style w:type="character" w:customStyle="1" w:styleId="373">
    <w:name w:val="无间隔2 Char"/>
    <w:basedOn w:val="91"/>
    <w:link w:val="372"/>
    <w:qFormat/>
    <w:uiPriority w:val="0"/>
    <w:rPr>
      <w:rFonts w:ascii="宋体" w:hAnsi="宋体"/>
      <w:kern w:val="2"/>
      <w:sz w:val="24"/>
      <w:szCs w:val="24"/>
    </w:rPr>
  </w:style>
  <w:style w:type="paragraph" w:styleId="374">
    <w:name w:val="No Spacing"/>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75">
    <w:name w:val="_Style 6"/>
    <w:qFormat/>
    <w:uiPriority w:val="1"/>
    <w:pPr>
      <w:widowControl w:val="0"/>
      <w:jc w:val="both"/>
    </w:pPr>
    <w:rPr>
      <w:rFonts w:ascii="宋体" w:hAnsi="宋体" w:eastAsia="宋体" w:cs="Times New Roman"/>
      <w:kern w:val="2"/>
      <w:sz w:val="24"/>
      <w:szCs w:val="24"/>
      <w:lang w:val="en-US" w:eastAsia="zh-CN" w:bidi="ar-SA"/>
    </w:rPr>
  </w:style>
  <w:style w:type="character" w:customStyle="1" w:styleId="376">
    <w:name w:val="biggerthanmax"/>
    <w:basedOn w:val="91"/>
    <w:qFormat/>
    <w:uiPriority w:val="0"/>
    <w:rPr>
      <w:shd w:val="clear" w:fill="FFFF00"/>
    </w:rPr>
  </w:style>
  <w:style w:type="character" w:customStyle="1" w:styleId="377">
    <w:name w:val="after"/>
    <w:basedOn w:val="91"/>
    <w:qFormat/>
    <w:uiPriority w:val="0"/>
    <w:rPr>
      <w:sz w:val="0"/>
      <w:szCs w:val="0"/>
    </w:rPr>
  </w:style>
  <w:style w:type="character" w:customStyle="1" w:styleId="378">
    <w:name w:val="active"/>
    <w:basedOn w:val="91"/>
    <w:qFormat/>
    <w:uiPriority w:val="0"/>
    <w:rPr>
      <w:shd w:val="clear" w:fill="EC3535"/>
    </w:rPr>
  </w:style>
  <w:style w:type="character" w:customStyle="1" w:styleId="379">
    <w:name w:val="pagechatarealistclose_box"/>
    <w:basedOn w:val="91"/>
    <w:qFormat/>
    <w:uiPriority w:val="0"/>
  </w:style>
  <w:style w:type="character" w:customStyle="1" w:styleId="380">
    <w:name w:val="pagechatarealistclose_box1"/>
    <w:basedOn w:val="91"/>
    <w:qFormat/>
    <w:uiPriority w:val="0"/>
  </w:style>
  <w:style w:type="character" w:customStyle="1" w:styleId="381">
    <w:name w:val="ico1647"/>
    <w:basedOn w:val="91"/>
    <w:qFormat/>
    <w:uiPriority w:val="0"/>
  </w:style>
  <w:style w:type="character" w:customStyle="1" w:styleId="382">
    <w:name w:val="ico1648"/>
    <w:basedOn w:val="91"/>
    <w:qFormat/>
    <w:uiPriority w:val="0"/>
  </w:style>
  <w:style w:type="character" w:customStyle="1" w:styleId="383">
    <w:name w:val="xdrichtextbox"/>
    <w:basedOn w:val="91"/>
    <w:qFormat/>
    <w:uiPriority w:val="0"/>
    <w:rPr>
      <w:color w:val="auto"/>
      <w:sz w:val="18"/>
      <w:szCs w:val="18"/>
      <w:u w:val="none"/>
      <w:bdr w:val="single" w:color="DCDCDC" w:sz="8" w:space="0"/>
      <w:shd w:val="clear" w:fill="auto"/>
    </w:rPr>
  </w:style>
  <w:style w:type="character" w:customStyle="1" w:styleId="384">
    <w:name w:val="iconline2"/>
    <w:basedOn w:val="91"/>
    <w:qFormat/>
    <w:uiPriority w:val="0"/>
  </w:style>
  <w:style w:type="character" w:customStyle="1" w:styleId="385">
    <w:name w:val="choosename"/>
    <w:basedOn w:val="91"/>
    <w:qFormat/>
    <w:uiPriority w:val="0"/>
  </w:style>
  <w:style w:type="character" w:customStyle="1" w:styleId="386">
    <w:name w:val="icontext1"/>
    <w:basedOn w:val="91"/>
    <w:qFormat/>
    <w:uiPriority w:val="0"/>
  </w:style>
  <w:style w:type="character" w:customStyle="1" w:styleId="387">
    <w:name w:val="icontext11"/>
    <w:basedOn w:val="91"/>
    <w:qFormat/>
    <w:uiPriority w:val="0"/>
  </w:style>
  <w:style w:type="character" w:customStyle="1" w:styleId="388">
    <w:name w:val="icontext12"/>
    <w:basedOn w:val="91"/>
    <w:qFormat/>
    <w:uiPriority w:val="0"/>
  </w:style>
  <w:style w:type="character" w:customStyle="1" w:styleId="389">
    <w:name w:val="cy"/>
    <w:basedOn w:val="91"/>
    <w:qFormat/>
    <w:uiPriority w:val="0"/>
  </w:style>
  <w:style w:type="character" w:customStyle="1" w:styleId="390">
    <w:name w:val="design_class"/>
    <w:basedOn w:val="91"/>
    <w:qFormat/>
    <w:uiPriority w:val="0"/>
  </w:style>
  <w:style w:type="character" w:customStyle="1" w:styleId="391">
    <w:name w:val="icontext2"/>
    <w:basedOn w:val="91"/>
    <w:qFormat/>
    <w:uiPriority w:val="0"/>
  </w:style>
  <w:style w:type="character" w:customStyle="1" w:styleId="392">
    <w:name w:val="icontext3"/>
    <w:basedOn w:val="91"/>
    <w:qFormat/>
    <w:uiPriority w:val="0"/>
  </w:style>
  <w:style w:type="character" w:customStyle="1" w:styleId="393">
    <w:name w:val="hover31"/>
    <w:basedOn w:val="91"/>
    <w:qFormat/>
    <w:uiPriority w:val="0"/>
    <w:rPr>
      <w:color w:val="FFFFFF"/>
    </w:rPr>
  </w:style>
  <w:style w:type="character" w:customStyle="1" w:styleId="394">
    <w:name w:val="associateddata"/>
    <w:basedOn w:val="91"/>
    <w:qFormat/>
    <w:uiPriority w:val="0"/>
    <w:rPr>
      <w:shd w:val="clear" w:fill="50A6F9"/>
    </w:rPr>
  </w:style>
  <w:style w:type="character" w:customStyle="1" w:styleId="395">
    <w:name w:val="edit_class"/>
    <w:basedOn w:val="91"/>
    <w:qFormat/>
    <w:uiPriority w:val="0"/>
  </w:style>
  <w:style w:type="character" w:customStyle="1" w:styleId="396">
    <w:name w:val="tmpztreemove_arrow"/>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E5CB5-8EED-4156-BACD-220317DF91CC}">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33</Pages>
  <Words>12394</Words>
  <Characters>13008</Characters>
  <Lines>116</Lines>
  <Paragraphs>32</Paragraphs>
  <TotalTime>8</TotalTime>
  <ScaleCrop>false</ScaleCrop>
  <LinksUpToDate>false</LinksUpToDate>
  <CharactersWithSpaces>13931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2016-08-17T06:33:00Z</dcterms:created>
  <dc:creator>吴正新</dc:creator>
  <cp:lastModifiedBy>小艾mini</cp:lastModifiedBy>
  <cp:lastPrinted>2014-10-20T03:04:00Z</cp:lastPrinted>
  <dcterms:modified xsi:type="dcterms:W3CDTF">2023-10-07T03:12:52Z</dcterms:modified>
  <dc:title>招标编号：xx政采招[xxxx] xxx号</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18E0CD2E6F814416857A1320CAE1B893_13</vt:lpwstr>
  </property>
</Properties>
</file>